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河南省儿童早期发展与评估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基本情况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研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结果</w:t>
      </w:r>
    </w:p>
    <w:p>
      <w:pPr>
        <w:ind w:firstLine="48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为准确掌握河南省儿童早期发展与评估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针对性制定质控工作措施，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推动质控工作精准开展，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我省儿童早期发展与评估规范发展，按照</w:t>
      </w:r>
      <w:r>
        <w:rPr>
          <w:rFonts w:ascii="仿宋_GB2312" w:hAnsi="仿宋_GB2312" w:eastAsia="仿宋_GB2312" w:cs="仿宋_GB2312"/>
          <w:sz w:val="32"/>
          <w:szCs w:val="32"/>
        </w:rPr>
        <w:t>《河南省医疗质量控制中心管理办法》(豫卫医〔2023〕42号)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结合2023年工作计划，经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省医疗质量控制中心管理办公室第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次工作例会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商定，河南省儿童早期发展与评估质量控制中心(以下简称省质控中心)于4月-5月开展了2023年度河南省儿童早期发展与评估现状调研工作。</w:t>
      </w:r>
      <w:r>
        <w:rPr>
          <w:rFonts w:ascii="仿宋_GB2312" w:hAnsi="仿宋_GB2312" w:eastAsia="仿宋_GB2312" w:cs="仿宋_GB2312"/>
          <w:sz w:val="32"/>
          <w:szCs w:val="32"/>
        </w:rPr>
        <w:t>现将有关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调研结果相关</w:t>
      </w:r>
      <w:r>
        <w:rPr>
          <w:rFonts w:ascii="仿宋_GB2312" w:hAnsi="仿宋_GB2312" w:eastAsia="仿宋_GB2312" w:cs="仿宋_GB2312"/>
          <w:sz w:val="32"/>
          <w:szCs w:val="32"/>
        </w:rPr>
        <w:t>事宜通知如下：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调研结果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基本情况 </w:t>
      </w:r>
    </w:p>
    <w:p>
      <w:pPr>
        <w:ind w:firstLine="48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本次调查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</w:t>
      </w:r>
      <w:r>
        <w:rPr>
          <w:rFonts w:ascii="仿宋_GB2312" w:hAnsi="仿宋_GB2312" w:eastAsia="仿宋_GB2312" w:cs="仿宋_GB2312"/>
          <w:sz w:val="32"/>
          <w:szCs w:val="32"/>
        </w:rPr>
        <w:t>覆盖全</w:t>
      </w:r>
      <w:r>
        <w:rPr>
          <w:rFonts w:hint="eastAsia" w:ascii="仿宋_GB2312" w:hAnsi="仿宋_GB2312" w:eastAsia="仿宋_GB2312" w:cs="仿宋_GB2312"/>
          <w:sz w:val="32"/>
          <w:szCs w:val="32"/>
        </w:rPr>
        <w:t>省共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</w:t>
      </w:r>
      <w:r>
        <w:rPr>
          <w:rFonts w:ascii="仿宋_GB2312" w:hAnsi="仿宋_GB2312" w:eastAsia="仿宋_GB2312" w:cs="仿宋_GB2312"/>
          <w:sz w:val="32"/>
          <w:szCs w:val="32"/>
        </w:rPr>
        <w:t>家医院，</w:t>
      </w:r>
      <w:r>
        <w:rPr>
          <w:rFonts w:hint="eastAsia" w:ascii="仿宋_GB2312" w:hAnsi="仿宋_GB2312" w:eastAsia="仿宋_GB2312" w:cs="仿宋_GB2312"/>
          <w:sz w:val="32"/>
          <w:szCs w:val="32"/>
        </w:rPr>
        <w:t>三级医院6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6家</w:t>
      </w:r>
      <w:r>
        <w:rPr>
          <w:rFonts w:hint="eastAsia" w:ascii="仿宋_GB2312" w:hAnsi="仿宋_GB2312" w:eastAsia="仿宋_GB2312" w:cs="仿宋_GB2312"/>
          <w:sz w:val="32"/>
          <w:szCs w:val="32"/>
        </w:rPr>
        <w:t>，二级医院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妇幼保健院36家，儿童医院1家，其他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1家；公立医院127家，民营医院13家。</w:t>
      </w:r>
    </w:p>
    <w:p>
      <w:pPr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其中有儿童早期发展相关科室（如儿童保健科、儿童生长发育科、儿童心理科等）的医院有121家。</w:t>
      </w:r>
    </w:p>
    <w:p>
      <w:pPr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（二）儿童早期发展相关科室人员构成</w:t>
      </w:r>
    </w:p>
    <w:p>
      <w:pPr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参与调查的140</w:t>
      </w:r>
      <w:r>
        <w:rPr>
          <w:rFonts w:ascii="仿宋_GB2312" w:hAnsi="仿宋_GB2312" w:eastAsia="仿宋_GB2312" w:cs="仿宋_GB2312"/>
          <w:sz w:val="32"/>
          <w:szCs w:val="32"/>
        </w:rPr>
        <w:t>家医院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中儿童早期发展相关科室的总人数2727人，医生908人，占比33%；护理人员1141人，占比42%；治疗师559人，占比20%。高级职称320人，占比12%；中级职称939人，占比34%。硕博学历139人，占比5%。</w:t>
      </w:r>
    </w:p>
    <w:p>
      <w:pPr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（三）儿童早期发展相关疾病的就诊及随访情况</w:t>
      </w:r>
    </w:p>
    <w:p>
      <w:pPr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生长发育迟缓儿童总人数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53011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生长发育迟缓儿童人数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29659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56%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发育行为问题儿童总人数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14463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人，随访1次及以上的发育行为问题儿童人数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10770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74.5%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；先天性畸形儿童总人数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1577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先天性畸形儿童人数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76.2%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；遗传及代谢性疾病儿童总人数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1123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遗传及代谢性疾病儿童人数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877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78.1%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；维生素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D缺乏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40219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维生素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D缺乏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31609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78.6%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；运动发育迟缓儿童总人数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19555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运动发育迟缓儿童人数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15759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80.6%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矮小症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20678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人，随访1次及以上的矮小症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16707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80.8%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；内分泌系统疾病儿童总人数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17447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内分泌系统疾病儿童人数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14128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81%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；缺铁性贫血儿童总人数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33655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缺铁性贫血儿童人数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27402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81.4%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；语言发育迟缓儿童总人数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14638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语言发育迟缓儿童人数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11927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81.5%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；神经发育障碍儿童总人数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11380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神经发育障碍儿童人数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9429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82.9%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；营养不良儿童总人数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16691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营养不良儿童人数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13999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83.9%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肥胖及超重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儿童总人数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29677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人，随访1次及以上的肥胖及超重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儿童人数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25467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人，随访率为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85.8%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  <w:lang w:val="en-US" w:eastAsia="zh-CN"/>
        </w:rPr>
        <w:t>二、</w:t>
      </w:r>
      <w:r>
        <w:rPr>
          <w:rFonts w:ascii="Times New Roman" w:hAnsi="黑体" w:eastAsia="黑体"/>
          <w:sz w:val="32"/>
          <w:szCs w:val="32"/>
        </w:rPr>
        <w:t>存在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的</w:t>
      </w:r>
      <w:r>
        <w:rPr>
          <w:rFonts w:ascii="Times New Roman" w:hAnsi="黑体" w:eastAsia="黑体"/>
          <w:sz w:val="32"/>
          <w:szCs w:val="32"/>
        </w:rPr>
        <w:t>问题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及原因分析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（一）省</w:t>
      </w:r>
      <w:r>
        <w:rPr>
          <w:rFonts w:hint="eastAsia" w:ascii="仿宋_GB2312" w:hAnsi="仿宋_GB2312" w:eastAsia="仿宋_GB2312" w:cs="仿宋_GB2312"/>
          <w:sz w:val="32"/>
          <w:szCs w:val="32"/>
        </w:rPr>
        <w:t>质控中心成立时间短，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省市县三级质控体系建设不完善，并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存在质量管理经验不足、没有制定严格的质量管理规定和流程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质控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布置和推进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。医院参与质控工作主要依靠主动性，缺少必要的引导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管控。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（二）儿童早期发展与评估的概念较新，涵盖的内容和相关的专业科室较多，相关管理及专业人员对此的关注度不够，或者获取专业相关内容及信息的来源较少，导致对儿童早期发展与评估的认识不清晰。</w:t>
      </w:r>
    </w:p>
    <w:p>
      <w:p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对常见儿童早期发展与评估相关疾病的随访率调查中，随访率最低的5类情况依次是生长发育迟缓、发育行为问题、先天性畸形、遗传及代谢疾病和维生素D缺乏，均低于80%。生长发育迟缓随访率56%（最低），需加强随访，2023年质控改进目标为“提高生长发育迟缓儿童的随访率”；发育行为问题随访率74.5%、城市相对较高，可能原因：家长认识不够、不重视，相关专业医疗人员不足，拟定为下一个质控改进目标，通过人员培训、科普宣传提高业务人员的诊疗水平和家长的认识；先天性畸形随访率76.2%，遗传及代谢疾病，随访率78.1%，可能原因：这两类疾病较为复杂、家长自行至更高级别医院就诊、或暂时无治疗方法等，应加强此类疾病的随访，给予力所能及的指导和监测，在最大范围内纠偏；维生素D缺乏随访率78.6%，可能原因：家长不够重视，随访及治疗依从性差，应强化科普宣传力度，提高家长对疾病的认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NjI4ODIwZmRkYzYyNTI2MWQ0NTg4YjBmZWVmODMifQ=="/>
  </w:docVars>
  <w:rsids>
    <w:rsidRoot w:val="00000000"/>
    <w:rsid w:val="074164D9"/>
    <w:rsid w:val="0F510EEF"/>
    <w:rsid w:val="1BFE2CE6"/>
    <w:rsid w:val="21EB5ABA"/>
    <w:rsid w:val="22714212"/>
    <w:rsid w:val="38CB3006"/>
    <w:rsid w:val="3D8A539D"/>
    <w:rsid w:val="430D7751"/>
    <w:rsid w:val="54BE017D"/>
    <w:rsid w:val="653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2023-12-12T02:49:00Z</dcterms:created>
  <dc:creator>admin-2</dc:creator>
  <cp:lastModifiedBy>刘华</cp:lastModifiedBy>
  <dcterms:modified xsi:type="dcterms:W3CDTF">2023-12-12T08:29:32Z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CBBF7BD095264829B15E9F0DC49E56AD_12</vt:lpwstr>
  </property>
</Properties>
</file>