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B992" w14:textId="61DDDA21" w:rsidR="00AF1324" w:rsidRPr="004072F6" w:rsidRDefault="00AF1324" w:rsidP="004072F6">
      <w:pPr>
        <w:widowControl/>
        <w:spacing w:line="750" w:lineRule="atLeast"/>
        <w:jc w:val="center"/>
        <w:rPr>
          <w:rFonts w:ascii="方正小标宋简体" w:eastAsia="方正小标宋简体" w:hAnsi="仿宋" w:cs="宋体" w:hint="eastAsia"/>
          <w:spacing w:val="30"/>
          <w:kern w:val="0"/>
          <w:sz w:val="44"/>
          <w:szCs w:val="44"/>
        </w:rPr>
      </w:pPr>
      <w:r w:rsidRPr="004072F6">
        <w:rPr>
          <w:rFonts w:ascii="方正小标宋简体" w:eastAsia="方正小标宋简体" w:hAnsi="仿宋" w:cs="宋体" w:hint="eastAsia"/>
          <w:spacing w:val="30"/>
          <w:kern w:val="0"/>
          <w:sz w:val="44"/>
          <w:szCs w:val="44"/>
        </w:rPr>
        <w:t>《民法典》</w:t>
      </w:r>
    </w:p>
    <w:p w14:paraId="5B80E6C8" w14:textId="5921C904" w:rsidR="00AF1324" w:rsidRPr="004072F6" w:rsidRDefault="00AF1324" w:rsidP="0008271A">
      <w:pPr>
        <w:widowControl/>
        <w:spacing w:line="675" w:lineRule="atLeast"/>
        <w:ind w:left="120" w:right="120"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6月1日，新华社</w:t>
      </w:r>
      <w:r w:rsidR="004072F6">
        <w:rPr>
          <w:rFonts w:ascii="仿宋" w:eastAsia="仿宋" w:hAnsi="仿宋" w:cs="宋体" w:hint="eastAsia"/>
          <w:kern w:val="0"/>
          <w:sz w:val="32"/>
          <w:szCs w:val="32"/>
        </w:rPr>
        <w:t>授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权播发《中华人民共和国民法典》。这部法律已经在十三届全国人大三次会议表决通过，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于2021年1月1日正式施行。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《民法典》在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第七编第六章医疗损害责任部分，提到涉</w:t>
      </w:r>
      <w:proofErr w:type="gramStart"/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医</w:t>
      </w:r>
      <w:proofErr w:type="gramEnd"/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部分共十一条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，每一条内容都和医疗机构及医务人员直接相关。整理如下：</w:t>
      </w:r>
    </w:p>
    <w:p w14:paraId="22E7050B" w14:textId="3F4CE797" w:rsidR="00AF1324" w:rsidRPr="0008271A" w:rsidRDefault="00AF1324" w:rsidP="004072F6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b/>
          <w:bCs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《民法典》进一步明确患者在接受诊疗过程中出现</w:t>
      </w:r>
      <w:r w:rsidRPr="0008271A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以下情况，赔偿责任将由医疗机构承担。</w:t>
      </w:r>
    </w:p>
    <w:p w14:paraId="443737C1" w14:textId="567A86B2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第一千二百一十八条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患者在诊疗活动中受到损害，医疗机构或者其医务人员有过错的，由医疗机构承担赔偿责任。</w:t>
      </w:r>
    </w:p>
    <w:p w14:paraId="0990F6CE" w14:textId="045D6207" w:rsidR="00AF1324" w:rsidRPr="004072F6" w:rsidRDefault="00AF1324" w:rsidP="004072F6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第一千二百一十九条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医务人员在诊疗活动中应当向患者说明病情和医疗措施。需要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实施手术、特殊检查、特殊治疗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的，医务人员应当及时向患者具体说明医疗风险、替代医疗方案等情况，并取得其明确同意；不能或者不宜向患者说明的，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应当向患者的近亲属说明，并取得其明确同意。</w:t>
      </w:r>
    </w:p>
    <w:p w14:paraId="067D826A" w14:textId="3B6E5EB2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医务人员未尽到前款义务，造成患者损害的，医疗机构应当承担赔偿责任。</w:t>
      </w:r>
    </w:p>
    <w:p w14:paraId="1800E1BF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第一千二百二十一条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医务人员在诊疗活动中未尽到与当时的医疗水平相应的诊疗义务，造成患者损害的，医疗机构应当承担赔偿责任。</w:t>
      </w:r>
    </w:p>
    <w:p w14:paraId="74E10991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3B086BBA" w14:textId="358E4104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第一千二百二十三条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因药品、消毒产品、医疗器械的缺陷，或者输入不合格的血液造成患者损害的，患者可以向药品上市许可持有人、生产者、血液提供机构请求赔偿，也可以向医疗机构请求赔偿。患者向医疗机构请求赔偿的，医疗机构赔偿后，有权向负有责任的药品上市许可持有人、生产者、血液提供机构追偿。</w:t>
      </w:r>
    </w:p>
    <w:p w14:paraId="6B5D35C7" w14:textId="6B8DEE24" w:rsidR="00AF1324" w:rsidRPr="004072F6" w:rsidRDefault="00AF1324" w:rsidP="004072F6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第一千二百二十二条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患者在诊疗活动中受到损害，有下列情形之一的，推定医疗机构有过错：</w:t>
      </w:r>
    </w:p>
    <w:p w14:paraId="71E506C1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（一）违反法律、行政法规、规章以及其他有关诊疗规范的规定；</w:t>
      </w:r>
    </w:p>
    <w:p w14:paraId="7A4116DE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（二）隐匿或者拒绝提供与纠纷有关的病历资料；</w:t>
      </w:r>
    </w:p>
    <w:p w14:paraId="6957E79D" w14:textId="4BC0BA9E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（三）遗失、伪造、篡改或者违法销毁病历资料。</w:t>
      </w:r>
    </w:p>
    <w:p w14:paraId="6C5D68F2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3种情况</w:t>
      </w:r>
    </w:p>
    <w:p w14:paraId="6AF1FD79" w14:textId="3BC42FB7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医疗机构不承担赔偿责任</w:t>
      </w:r>
    </w:p>
    <w:p w14:paraId="76599FAC" w14:textId="70676408" w:rsidR="00AF1324" w:rsidRPr="0008271A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第一千二百二十四条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患者在诊疗活动中受到损害，有下列情形之一的，医疗机构不承担赔偿责任：</w:t>
      </w:r>
    </w:p>
    <w:p w14:paraId="674F7B39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（一）患者或者其近亲属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不配合医疗机构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进行符合诊疗规范的诊疗；</w:t>
      </w:r>
    </w:p>
    <w:p w14:paraId="6F372FB7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（二）医务人员在抢救生命垂危的患者等紧急情况下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已经尽到合理诊疗义务；</w:t>
      </w:r>
    </w:p>
    <w:p w14:paraId="1A60C8D6" w14:textId="49757DF8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（三）限于当时的医疗水平难以诊疗。</w:t>
      </w:r>
    </w:p>
    <w:p w14:paraId="0571BE86" w14:textId="2D6114F0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前款第一项情形中，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医疗机构或者其医务人员也有过错的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，应当承担相应的赔偿责任。</w:t>
      </w:r>
    </w:p>
    <w:p w14:paraId="538D99BB" w14:textId="006D16E7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因抢救生命垂危的患者等紧急情况，不能取得患者或者其近亲属意见的，经医疗机构负责人或者授权的负责人批准，可以立即实施相应的医疗措施。</w:t>
      </w:r>
    </w:p>
    <w:p w14:paraId="0ADC16AE" w14:textId="74145BFB" w:rsidR="00AF1324" w:rsidRPr="004072F6" w:rsidRDefault="00AF1324" w:rsidP="0008271A">
      <w:pPr>
        <w:widowControl/>
        <w:spacing w:line="675" w:lineRule="atLeast"/>
        <w:ind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第一千二百二十八条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医疗机构及其医务人员的合法权益受法律保护。干扰医疗秩序，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妨碍医务人员工作、生活，侵害医务人员合法权益的，应当依法承担法律责任。</w:t>
      </w:r>
    </w:p>
    <w:p w14:paraId="3BE75528" w14:textId="002981E3" w:rsidR="00AF1324" w:rsidRPr="004072F6" w:rsidRDefault="00AF1324" w:rsidP="0008271A">
      <w:pPr>
        <w:widowControl/>
        <w:spacing w:line="675" w:lineRule="atLeast"/>
        <w:ind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医疗机构及医务人员必须履行的责任</w:t>
      </w:r>
    </w:p>
    <w:p w14:paraId="7A1B868B" w14:textId="0BF4FD59" w:rsidR="00AF1324" w:rsidRPr="0008271A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第一千二百二十五条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医疗机构及其医务人员应当按照规定填写并妥善保管住院志、医嘱单、检验报告、手术及麻醉记录、病理资料、护理记录等病历资料。</w:t>
      </w:r>
    </w:p>
    <w:p w14:paraId="0D057A4F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患者要求查阅、复制前款规定的病历资料的，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医疗机构应当及时提供。</w:t>
      </w:r>
    </w:p>
    <w:p w14:paraId="2631ED43" w14:textId="77777777" w:rsidR="00AF1324" w:rsidRPr="004072F6" w:rsidRDefault="00AF1324" w:rsidP="00AF1324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14:paraId="7FD0F446" w14:textId="50A7FEB8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第一千二百二十六条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医疗机构及其医务人员应当对患者的隐私和个人信息保密。泄露患者的隐私和个人信息，或者未经患者同意公开其病历资料的，应当承担侵权责任。</w:t>
      </w:r>
    </w:p>
    <w:p w14:paraId="368DDEA2" w14:textId="57E3CC4F" w:rsidR="00AF1324" w:rsidRPr="004072F6" w:rsidRDefault="00AF1324" w:rsidP="0008271A">
      <w:pPr>
        <w:widowControl/>
        <w:spacing w:line="675" w:lineRule="atLeast"/>
        <w:ind w:left="120" w:right="1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第一千二百二十七条</w:t>
      </w:r>
      <w:r w:rsidRPr="004072F6">
        <w:rPr>
          <w:rFonts w:ascii="Calibri" w:eastAsia="仿宋" w:hAnsi="Calibri" w:cs="Calibri"/>
          <w:kern w:val="0"/>
          <w:sz w:val="32"/>
          <w:szCs w:val="32"/>
        </w:rPr>
        <w:t> 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医疗机构及其医务人员</w:t>
      </w:r>
      <w:r w:rsidRPr="004072F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不得违反诊疗规范实施不必要的检查。</w:t>
      </w:r>
    </w:p>
    <w:p w14:paraId="7BA2AB0A" w14:textId="77777777" w:rsidR="00AF1324" w:rsidRPr="004072F6" w:rsidRDefault="00AF1324" w:rsidP="00AF1324">
      <w:pPr>
        <w:widowControl/>
        <w:spacing w:line="675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（来源：</w:t>
      </w:r>
      <w:r w:rsidRPr="004072F6">
        <w:rPr>
          <w:rFonts w:ascii="仿宋" w:eastAsia="仿宋" w:hAnsi="仿宋" w:cs="Tahoma"/>
          <w:spacing w:val="8"/>
          <w:kern w:val="0"/>
          <w:sz w:val="32"/>
          <w:szCs w:val="32"/>
          <w:shd w:val="clear" w:color="auto" w:fill="FFFFFF"/>
        </w:rPr>
        <w:t>新华社、基层医师公社</w:t>
      </w:r>
      <w:r w:rsidRPr="004072F6">
        <w:rPr>
          <w:rFonts w:ascii="仿宋" w:eastAsia="仿宋" w:hAnsi="仿宋" w:cs="宋体" w:hint="eastAsia"/>
          <w:kern w:val="0"/>
          <w:sz w:val="32"/>
          <w:szCs w:val="32"/>
        </w:rPr>
        <w:t>）</w:t>
      </w:r>
    </w:p>
    <w:p w14:paraId="2A8895B2" w14:textId="77777777" w:rsidR="00032FD2" w:rsidRPr="004072F6" w:rsidRDefault="00032FD2">
      <w:pPr>
        <w:rPr>
          <w:rFonts w:ascii="仿宋" w:eastAsia="仿宋" w:hAnsi="仿宋"/>
          <w:sz w:val="32"/>
          <w:szCs w:val="32"/>
        </w:rPr>
      </w:pPr>
    </w:p>
    <w:sectPr w:rsidR="00032FD2" w:rsidRPr="0040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99ECC" w14:textId="77777777" w:rsidR="0001282F" w:rsidRDefault="0001282F" w:rsidP="004072F6">
      <w:r>
        <w:separator/>
      </w:r>
    </w:p>
  </w:endnote>
  <w:endnote w:type="continuationSeparator" w:id="0">
    <w:p w14:paraId="56466935" w14:textId="77777777" w:rsidR="0001282F" w:rsidRDefault="0001282F" w:rsidP="0040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3ED4E" w14:textId="77777777" w:rsidR="0001282F" w:rsidRDefault="0001282F" w:rsidP="004072F6">
      <w:r>
        <w:separator/>
      </w:r>
    </w:p>
  </w:footnote>
  <w:footnote w:type="continuationSeparator" w:id="0">
    <w:p w14:paraId="3C529436" w14:textId="77777777" w:rsidR="0001282F" w:rsidRDefault="0001282F" w:rsidP="0040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D"/>
    <w:rsid w:val="0001282F"/>
    <w:rsid w:val="00032FD2"/>
    <w:rsid w:val="0008271A"/>
    <w:rsid w:val="003A38CD"/>
    <w:rsid w:val="004072F6"/>
    <w:rsid w:val="0087085E"/>
    <w:rsid w:val="00A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DBFC"/>
  <w15:docId w15:val="{3B9EB5D1-2C8F-429D-9538-2287E9E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F132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F132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onlyusetovoice">
    <w:name w:val="onlyusetovoice"/>
    <w:basedOn w:val="a0"/>
    <w:rsid w:val="00AF1324"/>
  </w:style>
  <w:style w:type="paragraph" w:styleId="a3">
    <w:name w:val="Normal (Web)"/>
    <w:basedOn w:val="a"/>
    <w:uiPriority w:val="99"/>
    <w:semiHidden/>
    <w:unhideWhenUsed/>
    <w:rsid w:val="00AF1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F1324"/>
    <w:rPr>
      <w:b/>
      <w:bCs/>
    </w:rPr>
  </w:style>
  <w:style w:type="paragraph" w:styleId="a5">
    <w:name w:val="header"/>
    <w:basedOn w:val="a"/>
    <w:link w:val="a6"/>
    <w:uiPriority w:val="99"/>
    <w:unhideWhenUsed/>
    <w:rsid w:val="004072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72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7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7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27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EDEDE"/>
            <w:right w:val="none" w:sz="0" w:space="0" w:color="auto"/>
          </w:divBdr>
          <w:divsChild>
            <w:div w:id="2093162713">
              <w:marLeft w:val="0"/>
              <w:marRight w:val="17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71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dashed" w:sz="6" w:space="23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红宇 张</cp:lastModifiedBy>
  <cp:revision>3</cp:revision>
  <dcterms:created xsi:type="dcterms:W3CDTF">2024-06-03T03:01:00Z</dcterms:created>
  <dcterms:modified xsi:type="dcterms:W3CDTF">2024-08-08T13:56:00Z</dcterms:modified>
</cp:coreProperties>
</file>