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heme="minorBidi"/>
          <w:sz w:val="32"/>
          <w:szCs w:val="32"/>
        </w:rPr>
      </w:pPr>
      <w:bookmarkStart w:id="0" w:name="_GoBack"/>
      <w:bookmarkEnd w:id="0"/>
      <w:r>
        <w:rPr>
          <w:rFonts w:hint="eastAsia" w:ascii="黑体" w:hAnsi="黑体" w:eastAsia="黑体" w:cstheme="minorBidi"/>
          <w:sz w:val="32"/>
          <w:szCs w:val="32"/>
        </w:rPr>
        <w:t>附</w:t>
      </w:r>
      <w:r>
        <w:rPr>
          <w:rFonts w:hint="eastAsia" w:ascii="黑体" w:hAnsi="黑体" w:eastAsia="黑体" w:cstheme="minorBidi"/>
          <w:sz w:val="32"/>
          <w:szCs w:val="32"/>
          <w:lang w:val="en-US" w:eastAsia="zh-CN"/>
        </w:rPr>
        <w:t xml:space="preserve">  </w:t>
      </w:r>
      <w:r>
        <w:rPr>
          <w:rFonts w:hint="eastAsia" w:ascii="黑体" w:hAnsi="黑体" w:eastAsia="黑体" w:cstheme="minorBidi"/>
          <w:sz w:val="32"/>
          <w:szCs w:val="32"/>
        </w:rPr>
        <w:t>件</w:t>
      </w:r>
    </w:p>
    <w:p>
      <w:pPr>
        <w:jc w:val="center"/>
        <w:outlineLvl w:val="0"/>
        <w:rPr>
          <w:rFonts w:ascii="方正小标宋简体" w:eastAsia="方正小标宋简体" w:hAnsiTheme="minorHAnsi" w:cstheme="minorBidi"/>
          <w:b w:val="0"/>
          <w:bCs/>
          <w:sz w:val="44"/>
          <w:szCs w:val="44"/>
        </w:rPr>
      </w:pPr>
      <w:r>
        <w:rPr>
          <w:rFonts w:hint="eastAsia" w:ascii="方正小标宋简体" w:eastAsia="方正小标宋简体" w:hAnsiTheme="minorHAnsi" w:cstheme="minorBidi"/>
          <w:b w:val="0"/>
          <w:bCs/>
          <w:sz w:val="44"/>
          <w:szCs w:val="44"/>
        </w:rPr>
        <w:t>河南省艾滋病诊疗质量控制指标（试行）</w:t>
      </w:r>
    </w:p>
    <w:p>
      <w:pPr>
        <w:rPr>
          <w:rFonts w:ascii="仿宋_GB2312" w:eastAsia="仿宋_GB2312" w:hAnsiTheme="minorHAnsi" w:cstheme="minorBidi"/>
          <w:sz w:val="32"/>
          <w:szCs w:val="32"/>
        </w:rPr>
      </w:pPr>
    </w:p>
    <w:p>
      <w:pPr>
        <w:ind w:firstLine="640" w:firstLineChars="200"/>
        <w:rPr>
          <w:rFonts w:ascii="黑体" w:hAnsi="黑体" w:eastAsia="黑体" w:cstheme="minorBidi"/>
          <w:sz w:val="32"/>
          <w:szCs w:val="32"/>
        </w:rPr>
      </w:pPr>
      <w:r>
        <w:rPr>
          <w:rFonts w:hint="eastAsia" w:ascii="黑体" w:hAnsi="黑体" w:eastAsia="黑体" w:cstheme="minorBidi"/>
          <w:sz w:val="32"/>
          <w:szCs w:val="32"/>
        </w:rPr>
        <w:t>指标一、抗病毒治疗患者规范随访率</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定义：连续抗病毒治疗≥1年的患者，每年接受4次规范随访的比例。</w:t>
      </w:r>
    </w:p>
    <w:p>
      <w:pPr>
        <w:ind w:firstLine="525" w:firstLineChars="250"/>
        <w:rPr>
          <w:rFonts w:ascii="仿宋_GB2312" w:eastAsia="仿宋_GB2312" w:hAnsiTheme="minorHAnsi" w:cstheme="minorBidi"/>
          <w:sz w:val="32"/>
          <w:szCs w:val="32"/>
        </w:rPr>
      </w:pPr>
      <w:r>
        <w:rPr>
          <w:rFonts w:asciiTheme="minorHAnsi" w:hAnsiTheme="minorHAnsi" w:eastAsiaTheme="minorEastAsia" w:cstheme="minorBidi"/>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411480</wp:posOffset>
                </wp:positionV>
                <wp:extent cx="5400675" cy="1828800"/>
                <wp:effectExtent l="0" t="0" r="28575" b="16510"/>
                <wp:wrapSquare wrapText="bothSides"/>
                <wp:docPr id="9" name="文本框 9"/>
                <wp:cNvGraphicFramePr/>
                <a:graphic xmlns:a="http://schemas.openxmlformats.org/drawingml/2006/main">
                  <a:graphicData uri="http://schemas.microsoft.com/office/word/2010/wordprocessingShape">
                    <wps:wsp>
                      <wps:cNvSpPr txBox="1"/>
                      <wps:spPr>
                        <a:xfrm>
                          <a:off x="0" y="0"/>
                          <a:ext cx="5400675" cy="1828800"/>
                        </a:xfrm>
                        <a:prstGeom prst="rect">
                          <a:avLst/>
                        </a:prstGeom>
                        <a:noFill/>
                        <a:ln w="6350">
                          <a:solidFill>
                            <a:sysClr val="window" lastClr="FFFFFF"/>
                          </a:solidFill>
                        </a:ln>
                        <a:effectLst/>
                      </wps:spPr>
                      <wps:txbx>
                        <w:txbxContent>
                          <w:p>
                            <w:pPr>
                              <w:spacing w:line="320" w:lineRule="exact"/>
                              <w:ind w:firstLine="2100" w:firstLineChars="750"/>
                              <w:rPr>
                                <w:rFonts w:ascii="仿宋_GB2312" w:eastAsia="仿宋_GB2312"/>
                                <w:sz w:val="28"/>
                                <w:szCs w:val="32"/>
                              </w:rPr>
                            </w:pPr>
                            <w:r>
                              <w:rPr>
                                <w:rFonts w:hint="eastAsia" w:ascii="仿宋_GB2312" w:eastAsia="仿宋_GB2312"/>
                                <w:sz w:val="28"/>
                                <w:szCs w:val="32"/>
                              </w:rPr>
                              <w:t>本年度接受4次规范随访的患者人数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规范随访率＝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100" w:firstLineChars="750"/>
                              <w:rPr>
                                <w:rFonts w:ascii="仿宋_GB2312" w:eastAsia="仿宋_GB2312"/>
                                <w:sz w:val="28"/>
                                <w:szCs w:val="32"/>
                              </w:rPr>
                            </w:pPr>
                            <w:r>
                              <w:rPr>
                                <w:rFonts w:hint="eastAsia" w:ascii="仿宋_GB2312" w:eastAsia="仿宋_GB2312"/>
                                <w:sz w:val="28"/>
                                <w:szCs w:val="32"/>
                              </w:rPr>
                              <w:t>连续抗病毒治疗≥1年的患者人数</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5pt;margin-top:32.4pt;height:144pt;width:425.25pt;mso-wrap-distance-bottom:0pt;mso-wrap-distance-left:9pt;mso-wrap-distance-right:9pt;mso-wrap-distance-top:0pt;z-index:251659264;mso-width-relative:page;mso-height-relative:page;" filled="f" stroked="t" coordsize="21600,21600" o:gfxdata="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zTwTA2gAAAAkBAAAPAAAAAAAAAAEA&#10;IAAAACIAAABkcnMvZG93bnJldi54bWxQSwECFAAUAAAACACHTuJAfhi6TkYCAABgBAAADgAAAAAA&#10;AAABACAAAAApAQAAZHJzL2Uyb0RvYy54bWxQSwUGAAAAAAYABgBZAQAA4QUAAAAA&#10;">
                <v:fill on="f" focussize="0,0"/>
                <v:stroke weight="0.5pt" color="#FFFFFF" joinstyle="round"/>
                <v:imagedata o:title=""/>
                <o:lock v:ext="edit" aspectratio="f"/>
                <v:textbox style="mso-fit-shape-to-text:t;">
                  <w:txbxContent>
                    <w:p>
                      <w:pPr>
                        <w:spacing w:line="320" w:lineRule="exact"/>
                        <w:ind w:firstLine="2100" w:firstLineChars="750"/>
                        <w:rPr>
                          <w:rFonts w:ascii="仿宋_GB2312" w:eastAsia="仿宋_GB2312"/>
                          <w:sz w:val="28"/>
                          <w:szCs w:val="32"/>
                        </w:rPr>
                      </w:pPr>
                      <w:r>
                        <w:rPr>
                          <w:rFonts w:hint="eastAsia" w:ascii="仿宋_GB2312" w:eastAsia="仿宋_GB2312"/>
                          <w:sz w:val="28"/>
                          <w:szCs w:val="32"/>
                        </w:rPr>
                        <w:t>本年度接受4次规范随访的患者人数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规范随访率＝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100" w:firstLineChars="750"/>
                        <w:rPr>
                          <w:rFonts w:ascii="仿宋_GB2312" w:eastAsia="仿宋_GB2312"/>
                          <w:sz w:val="28"/>
                          <w:szCs w:val="32"/>
                        </w:rPr>
                      </w:pPr>
                      <w:r>
                        <w:rPr>
                          <w:rFonts w:hint="eastAsia" w:ascii="仿宋_GB2312" w:eastAsia="仿宋_GB2312"/>
                          <w:sz w:val="28"/>
                          <w:szCs w:val="32"/>
                        </w:rPr>
                        <w:t>连续抗病毒治疗≥1年的患者人数</w:t>
                      </w:r>
                    </w:p>
                  </w:txbxContent>
                </v:textbox>
                <w10:wrap type="square"/>
              </v:shape>
            </w:pict>
          </mc:Fallback>
        </mc:AlternateContent>
      </w:r>
      <w:r>
        <w:rPr>
          <w:rFonts w:hint="eastAsia" w:ascii="仿宋_GB2312" w:eastAsia="仿宋_GB2312" w:hAnsiTheme="minorHAnsi" w:cstheme="minorBidi"/>
          <w:sz w:val="32"/>
          <w:szCs w:val="32"/>
        </w:rPr>
        <w:t>计算公式：</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意义：用于评估患者抗病毒治疗随访依从性，对于未能按时进行随访的患者尽早分析原因，采取干预措施。</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说明：1.连续抗病毒治疗是指在本年度内没有发生过停药、失访、转出或死亡等情况；2.数据由中国疾病预防控制信息系统应用门户传染病报告监测系统自动统计并调取。</w:t>
      </w:r>
    </w:p>
    <w:p>
      <w:pPr>
        <w:ind w:firstLine="640" w:firstLineChars="200"/>
        <w:rPr>
          <w:rFonts w:ascii="仿宋_GB2312" w:eastAsia="仿宋_GB2312" w:hAnsiTheme="minorHAnsi" w:cstheme="minorBidi"/>
          <w:sz w:val="32"/>
          <w:szCs w:val="32"/>
        </w:rPr>
      </w:pPr>
      <w:r>
        <w:rPr>
          <w:rFonts w:hint="eastAsia" w:ascii="黑体" w:hAnsi="黑体" w:eastAsia="黑体" w:cstheme="minorBidi"/>
          <w:sz w:val="32"/>
          <w:szCs w:val="32"/>
        </w:rPr>
        <w:t>指标二、抗病毒治疗患者CD</w:t>
      </w:r>
      <w:r>
        <w:rPr>
          <w:rFonts w:hint="eastAsia" w:ascii="黑体" w:hAnsi="黑体" w:eastAsia="黑体" w:cstheme="minorBidi"/>
          <w:sz w:val="32"/>
          <w:szCs w:val="32"/>
          <w:vertAlign w:val="subscript"/>
        </w:rPr>
        <w:t>4</w:t>
      </w:r>
      <w:r>
        <w:rPr>
          <w:rFonts w:hint="eastAsia" w:ascii="黑体" w:hAnsi="黑体" w:eastAsia="黑体" w:cstheme="minorBidi"/>
          <w:sz w:val="32"/>
          <w:szCs w:val="32"/>
        </w:rPr>
        <w:t>检测率</w:t>
      </w:r>
    </w:p>
    <w:p>
      <w:pPr>
        <w:ind w:firstLine="640" w:firstLineChars="200"/>
        <w:rPr>
          <w:rFonts w:ascii="仿宋_GB2312" w:eastAsia="仿宋_GB2312" w:hAnsiTheme="minorHAnsi" w:cstheme="minorBidi"/>
          <w:sz w:val="32"/>
          <w:szCs w:val="32"/>
        </w:rPr>
      </w:pPr>
      <w:r>
        <w:rPr>
          <w:rFonts w:hint="eastAsia" w:eastAsia="仿宋_GB2312" w:asciiTheme="minorHAnsi" w:hAnsiTheme="minorHAnsi" w:cstheme="minorBidi"/>
          <w:sz w:val="32"/>
          <w:szCs w:val="32"/>
        </w:rPr>
        <w:t>定义：连续抗病毒治疗≥1年的患者，每年接受1次</w:t>
      </w:r>
      <w:r>
        <w:rPr>
          <w:rFonts w:hint="eastAsia" w:ascii="仿宋_GB2312" w:eastAsia="仿宋_GB2312" w:hAnsiTheme="minorHAnsi" w:cstheme="minorBidi"/>
          <w:sz w:val="32"/>
          <w:szCs w:val="32"/>
        </w:rPr>
        <w:t>CD</w:t>
      </w:r>
      <w:r>
        <w:rPr>
          <w:rFonts w:hint="eastAsia" w:ascii="仿宋_GB2312" w:eastAsia="仿宋_GB2312" w:hAnsiTheme="minorHAnsi" w:cstheme="minorBidi"/>
          <w:sz w:val="32"/>
          <w:szCs w:val="32"/>
          <w:vertAlign w:val="subscript"/>
        </w:rPr>
        <w:t>4</w:t>
      </w:r>
      <w:r>
        <w:rPr>
          <w:rFonts w:hint="eastAsia" w:ascii="仿宋_GB2312" w:eastAsia="仿宋_GB2312" w:hAnsiTheme="minorHAnsi" w:cstheme="minorBidi"/>
          <w:sz w:val="32"/>
          <w:szCs w:val="32"/>
        </w:rPr>
        <w:t>检</w:t>
      </w:r>
      <w:r>
        <w:rPr>
          <w:rFonts w:hint="eastAsia" w:eastAsia="仿宋_GB2312" w:asciiTheme="minorHAnsi" w:hAnsiTheme="minorHAnsi" w:cstheme="minorBidi"/>
          <w:sz w:val="32"/>
          <w:szCs w:val="32"/>
        </w:rPr>
        <w:t>测的比例。</w:t>
      </w:r>
    </w:p>
    <w:p>
      <w:pPr>
        <w:ind w:firstLine="420" w:firstLineChars="200"/>
        <w:rPr>
          <w:rFonts w:ascii="仿宋_GB2312" w:eastAsia="仿宋_GB2312" w:hAnsiTheme="minorHAnsi" w:cstheme="minorBidi"/>
          <w:sz w:val="32"/>
          <w:szCs w:val="32"/>
        </w:rPr>
      </w:pPr>
      <w:r>
        <w:rPr>
          <w:rFonts w:asciiTheme="minorHAnsi" w:hAnsiTheme="minorHAnsi" w:eastAsiaTheme="minorEastAsia" w:cstheme="minorBidi"/>
        </w:rPr>
        <mc:AlternateContent>
          <mc:Choice Requires="wps">
            <w:drawing>
              <wp:anchor distT="0" distB="0" distL="114300" distR="114300" simplePos="0" relativeHeight="251660288" behindDoc="1" locked="0" layoutInCell="1" allowOverlap="1">
                <wp:simplePos x="0" y="0"/>
                <wp:positionH relativeFrom="column">
                  <wp:posOffset>28575</wp:posOffset>
                </wp:positionH>
                <wp:positionV relativeFrom="paragraph">
                  <wp:posOffset>569595</wp:posOffset>
                </wp:positionV>
                <wp:extent cx="5400675" cy="1828800"/>
                <wp:effectExtent l="0" t="0" r="28575" b="16510"/>
                <wp:wrapTight wrapText="bothSides">
                  <wp:wrapPolygon>
                    <wp:start x="0" y="0"/>
                    <wp:lineTo x="0" y="21522"/>
                    <wp:lineTo x="21638" y="21522"/>
                    <wp:lineTo x="21638" y="0"/>
                    <wp:lineTo x="0" y="0"/>
                  </wp:wrapPolygon>
                </wp:wrapTight>
                <wp:docPr id="2" name="文本框 2"/>
                <wp:cNvGraphicFramePr/>
                <a:graphic xmlns:a="http://schemas.openxmlformats.org/drawingml/2006/main">
                  <a:graphicData uri="http://schemas.microsoft.com/office/word/2010/wordprocessingShape">
                    <wps:wsp>
                      <wps:cNvSpPr txBox="1"/>
                      <wps:spPr>
                        <a:xfrm>
                          <a:off x="0" y="0"/>
                          <a:ext cx="5400675" cy="1828800"/>
                        </a:xfrm>
                        <a:prstGeom prst="rect">
                          <a:avLst/>
                        </a:prstGeom>
                        <a:noFill/>
                        <a:ln w="6350">
                          <a:solidFill>
                            <a:sysClr val="window" lastClr="FFFFFF"/>
                          </a:solidFill>
                        </a:ln>
                        <a:effectLst/>
                      </wps:spPr>
                      <wps:txbx>
                        <w:txbxContent>
                          <w:p>
                            <w:pPr>
                              <w:spacing w:line="320" w:lineRule="exact"/>
                              <w:ind w:firstLine="2100" w:firstLineChars="750"/>
                              <w:rPr>
                                <w:rFonts w:ascii="仿宋_GB2312" w:eastAsia="仿宋_GB2312"/>
                                <w:sz w:val="28"/>
                                <w:szCs w:val="32"/>
                              </w:rPr>
                            </w:pPr>
                            <w:r>
                              <w:rPr>
                                <w:rFonts w:hint="eastAsia" w:ascii="仿宋_GB2312" w:eastAsia="仿宋_GB2312"/>
                                <w:sz w:val="28"/>
                                <w:szCs w:val="32"/>
                              </w:rPr>
                              <w:t>本年度接受1次CD</w:t>
                            </w:r>
                            <w:r>
                              <w:rPr>
                                <w:rFonts w:hint="eastAsia" w:ascii="仿宋_GB2312" w:eastAsia="仿宋_GB2312"/>
                                <w:sz w:val="28"/>
                                <w:szCs w:val="32"/>
                                <w:vertAlign w:val="subscript"/>
                              </w:rPr>
                              <w:t>4</w:t>
                            </w:r>
                            <w:r>
                              <w:rPr>
                                <w:rFonts w:hint="eastAsia" w:ascii="仿宋_GB2312" w:eastAsia="仿宋_GB2312"/>
                                <w:sz w:val="28"/>
                                <w:szCs w:val="32"/>
                              </w:rPr>
                              <w:t>检测的患者人数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CD</w:t>
                            </w:r>
                            <w:r>
                              <w:rPr>
                                <w:rFonts w:hint="eastAsia" w:ascii="仿宋_GB2312" w:eastAsia="仿宋_GB2312"/>
                                <w:sz w:val="32"/>
                                <w:szCs w:val="32"/>
                                <w:vertAlign w:val="subscript"/>
                              </w:rPr>
                              <w:t>4</w:t>
                            </w:r>
                            <w:r>
                              <w:rPr>
                                <w:rFonts w:hint="eastAsia" w:ascii="仿宋_GB2312" w:eastAsia="仿宋_GB2312"/>
                                <w:sz w:val="32"/>
                                <w:szCs w:val="32"/>
                              </w:rPr>
                              <w:t>检测率＝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240" w:firstLineChars="800"/>
                              <w:rPr>
                                <w:rFonts w:ascii="仿宋_GB2312" w:eastAsia="仿宋_GB2312"/>
                                <w:sz w:val="28"/>
                                <w:szCs w:val="32"/>
                              </w:rPr>
                            </w:pPr>
                            <w:r>
                              <w:rPr>
                                <w:rFonts w:hint="eastAsia" w:ascii="仿宋_GB2312" w:eastAsia="仿宋_GB2312"/>
                                <w:sz w:val="28"/>
                                <w:szCs w:val="32"/>
                              </w:rPr>
                              <w:t>连续抗病毒治疗≥1年的患者人数</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44.85pt;height:144pt;width:425.25pt;mso-wrap-distance-left:9pt;mso-wrap-distance-right:9pt;z-index:-251656192;mso-width-relative:page;mso-height-relative:page;" filled="f" stroked="t" coordsize="21600,21600" wrapcoords="0 0 0 21522 21638 21522 21638 0 0 0" o:gfxdata="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Pu6Z9kAAAAIAQAADwAAAAAAAAABACAA&#10;AAAiAAAAZHJzL2Rvd25yZXYueG1sUEsBAhQAFAAAAAgAh07iQNjJLf5FAgAAYAQAAA4AAAAAAAAA&#10;AQAgAAAAKAEAAGRycy9lMm9Eb2MueG1sUEsFBgAAAAAGAAYAWQEAAN8FAAAAAA==&#10;">
                <v:fill on="f" focussize="0,0"/>
                <v:stroke weight="0.5pt" color="#FFFFFF" joinstyle="round"/>
                <v:imagedata o:title=""/>
                <o:lock v:ext="edit" aspectratio="f"/>
                <v:textbox style="mso-fit-shape-to-text:t;">
                  <w:txbxContent>
                    <w:p>
                      <w:pPr>
                        <w:spacing w:line="320" w:lineRule="exact"/>
                        <w:ind w:firstLine="2100" w:firstLineChars="750"/>
                        <w:rPr>
                          <w:rFonts w:ascii="仿宋_GB2312" w:eastAsia="仿宋_GB2312"/>
                          <w:sz w:val="28"/>
                          <w:szCs w:val="32"/>
                        </w:rPr>
                      </w:pPr>
                      <w:r>
                        <w:rPr>
                          <w:rFonts w:hint="eastAsia" w:ascii="仿宋_GB2312" w:eastAsia="仿宋_GB2312"/>
                          <w:sz w:val="28"/>
                          <w:szCs w:val="32"/>
                        </w:rPr>
                        <w:t>本年度接受1次CD</w:t>
                      </w:r>
                      <w:r>
                        <w:rPr>
                          <w:rFonts w:hint="eastAsia" w:ascii="仿宋_GB2312" w:eastAsia="仿宋_GB2312"/>
                          <w:sz w:val="28"/>
                          <w:szCs w:val="32"/>
                          <w:vertAlign w:val="subscript"/>
                        </w:rPr>
                        <w:t>4</w:t>
                      </w:r>
                      <w:r>
                        <w:rPr>
                          <w:rFonts w:hint="eastAsia" w:ascii="仿宋_GB2312" w:eastAsia="仿宋_GB2312"/>
                          <w:sz w:val="28"/>
                          <w:szCs w:val="32"/>
                        </w:rPr>
                        <w:t>检测的患者人数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CD</w:t>
                      </w:r>
                      <w:r>
                        <w:rPr>
                          <w:rFonts w:hint="eastAsia" w:ascii="仿宋_GB2312" w:eastAsia="仿宋_GB2312"/>
                          <w:sz w:val="32"/>
                          <w:szCs w:val="32"/>
                          <w:vertAlign w:val="subscript"/>
                        </w:rPr>
                        <w:t>4</w:t>
                      </w:r>
                      <w:r>
                        <w:rPr>
                          <w:rFonts w:hint="eastAsia" w:ascii="仿宋_GB2312" w:eastAsia="仿宋_GB2312"/>
                          <w:sz w:val="32"/>
                          <w:szCs w:val="32"/>
                        </w:rPr>
                        <w:t>检测率＝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240" w:firstLineChars="800"/>
                        <w:rPr>
                          <w:rFonts w:ascii="仿宋_GB2312" w:eastAsia="仿宋_GB2312"/>
                          <w:sz w:val="28"/>
                          <w:szCs w:val="32"/>
                        </w:rPr>
                      </w:pPr>
                      <w:r>
                        <w:rPr>
                          <w:rFonts w:hint="eastAsia" w:ascii="仿宋_GB2312" w:eastAsia="仿宋_GB2312"/>
                          <w:sz w:val="28"/>
                          <w:szCs w:val="32"/>
                        </w:rPr>
                        <w:t>连续抗病毒治疗≥1年的患者人数</w:t>
                      </w:r>
                    </w:p>
                  </w:txbxContent>
                </v:textbox>
                <w10:wrap type="tight"/>
              </v:shape>
            </w:pict>
          </mc:Fallback>
        </mc:AlternateContent>
      </w:r>
      <w:r>
        <w:rPr>
          <w:rFonts w:hint="eastAsia" w:eastAsia="仿宋_GB2312" w:asciiTheme="minorHAnsi" w:hAnsiTheme="minorHAnsi" w:cstheme="minorBidi"/>
          <w:sz w:val="32"/>
          <w:szCs w:val="32"/>
        </w:rPr>
        <w:t>计算公式：</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意义：CD</w:t>
      </w:r>
      <w:r>
        <w:rPr>
          <w:rFonts w:hint="eastAsia" w:ascii="仿宋_GB2312" w:eastAsia="仿宋_GB2312" w:hAnsiTheme="minorHAnsi" w:cstheme="minorBidi"/>
          <w:sz w:val="32"/>
          <w:szCs w:val="32"/>
          <w:vertAlign w:val="subscript"/>
        </w:rPr>
        <w:t>4</w:t>
      </w:r>
      <w:r>
        <w:rPr>
          <w:rFonts w:hint="eastAsia" w:ascii="仿宋_GB2312" w:eastAsia="仿宋_GB2312" w:hAnsiTheme="minorHAnsi" w:cstheme="minorBidi"/>
          <w:sz w:val="32"/>
          <w:szCs w:val="32"/>
        </w:rPr>
        <w:t>检测结果是评估患者进行抗病毒治疗后免疫功能状态的重要指标，对CD</w:t>
      </w:r>
      <w:r>
        <w:rPr>
          <w:rFonts w:hint="eastAsia" w:ascii="仿宋_GB2312" w:eastAsia="仿宋_GB2312" w:hAnsiTheme="minorHAnsi" w:cstheme="minorBidi"/>
          <w:sz w:val="32"/>
          <w:szCs w:val="32"/>
          <w:vertAlign w:val="subscript"/>
        </w:rPr>
        <w:t>4</w:t>
      </w:r>
      <w:r>
        <w:rPr>
          <w:rFonts w:hint="eastAsia" w:ascii="仿宋_GB2312" w:eastAsia="仿宋_GB2312" w:hAnsiTheme="minorHAnsi" w:cstheme="minorBidi"/>
          <w:sz w:val="32"/>
          <w:szCs w:val="32"/>
        </w:rPr>
        <w:t>＜200个/μl的患者及时采取干预措施，能有效减少或避免患者并发症和机会性感染的发生。</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说明：1.指标只对连续抗病毒治疗≥1年患者的CD</w:t>
      </w:r>
      <w:r>
        <w:rPr>
          <w:rFonts w:hint="eastAsia" w:ascii="仿宋_GB2312" w:eastAsia="仿宋_GB2312" w:hAnsiTheme="minorHAnsi" w:cstheme="minorBidi"/>
          <w:sz w:val="32"/>
          <w:szCs w:val="32"/>
          <w:vertAlign w:val="subscript"/>
        </w:rPr>
        <w:t>4</w:t>
      </w:r>
      <w:r>
        <w:rPr>
          <w:rFonts w:hint="eastAsia" w:ascii="仿宋_GB2312" w:eastAsia="仿宋_GB2312" w:hAnsiTheme="minorHAnsi" w:cstheme="minorBidi"/>
          <w:sz w:val="32"/>
          <w:szCs w:val="32"/>
        </w:rPr>
        <w:t>检测情况进行统计；2.如患者因诊疗需要进行多次CD</w:t>
      </w:r>
      <w:r>
        <w:rPr>
          <w:rFonts w:hint="eastAsia" w:ascii="仿宋_GB2312" w:eastAsia="仿宋_GB2312" w:hAnsiTheme="minorHAnsi" w:cstheme="minorBidi"/>
          <w:sz w:val="32"/>
          <w:szCs w:val="32"/>
          <w:vertAlign w:val="subscript"/>
        </w:rPr>
        <w:t>4</w:t>
      </w:r>
      <w:r>
        <w:rPr>
          <w:rFonts w:hint="eastAsia" w:ascii="仿宋_GB2312" w:eastAsia="仿宋_GB2312" w:hAnsiTheme="minorHAnsi" w:cstheme="minorBidi"/>
          <w:sz w:val="32"/>
          <w:szCs w:val="32"/>
        </w:rPr>
        <w:t>检测，指标仅统计年度内的1次检测；3.</w:t>
      </w:r>
      <w:r>
        <w:rPr>
          <w:rFonts w:hint="eastAsia" w:asciiTheme="minorHAnsi" w:hAnsiTheme="minorHAnsi" w:eastAsiaTheme="minorEastAsia" w:cstheme="minorBidi"/>
        </w:rPr>
        <w:t xml:space="preserve"> </w:t>
      </w:r>
      <w:r>
        <w:rPr>
          <w:rFonts w:hint="eastAsia" w:ascii="仿宋_GB2312" w:eastAsia="仿宋_GB2312" w:hAnsiTheme="minorHAnsi" w:cstheme="minorBidi"/>
          <w:sz w:val="32"/>
          <w:szCs w:val="32"/>
        </w:rPr>
        <w:t>数据由中国疾病预防控制信息系统应用门户传染病报告监测系统自动统计并调取。</w:t>
      </w:r>
    </w:p>
    <w:p>
      <w:pPr>
        <w:ind w:firstLine="480" w:firstLineChars="150"/>
        <w:rPr>
          <w:rFonts w:ascii="仿宋_GB2312" w:eastAsia="仿宋_GB2312" w:hAnsiTheme="minorHAnsi" w:cstheme="minorBidi"/>
          <w:sz w:val="32"/>
          <w:szCs w:val="32"/>
        </w:rPr>
      </w:pPr>
      <w:r>
        <w:rPr>
          <w:rFonts w:hint="eastAsia" w:ascii="黑体" w:hAnsi="黑体" w:eastAsia="黑体" w:cstheme="minorBidi"/>
          <w:sz w:val="32"/>
          <w:szCs w:val="32"/>
        </w:rPr>
        <w:t>指标三、抗病毒治疗患者病毒载量（VL）检测率</w:t>
      </w:r>
    </w:p>
    <w:p>
      <w:pPr>
        <w:ind w:firstLine="480" w:firstLineChars="150"/>
        <w:rPr>
          <w:rFonts w:ascii="仿宋_GB2312" w:eastAsia="仿宋_GB2312" w:hAnsiTheme="minorHAnsi" w:cstheme="minorBidi"/>
          <w:sz w:val="32"/>
          <w:szCs w:val="32"/>
        </w:rPr>
      </w:pPr>
      <w:r>
        <w:rPr>
          <w:rFonts w:hint="eastAsia" w:eastAsia="仿宋_GB2312" w:asciiTheme="minorHAnsi" w:hAnsiTheme="minorHAnsi" w:cstheme="minorBidi"/>
          <w:sz w:val="32"/>
          <w:szCs w:val="32"/>
        </w:rPr>
        <w:t>定义：连续抗病毒治疗≥1年的患者，每年接受1次</w:t>
      </w:r>
      <w:r>
        <w:rPr>
          <w:rFonts w:hint="eastAsia" w:ascii="仿宋_GB2312" w:eastAsia="仿宋_GB2312" w:hAnsiTheme="minorHAnsi" w:cstheme="minorBidi"/>
          <w:sz w:val="32"/>
          <w:szCs w:val="32"/>
        </w:rPr>
        <w:t>VL检</w:t>
      </w:r>
      <w:r>
        <w:rPr>
          <w:rFonts w:hint="eastAsia" w:eastAsia="仿宋_GB2312" w:asciiTheme="minorHAnsi" w:hAnsiTheme="minorHAnsi" w:cstheme="minorBidi"/>
          <w:sz w:val="32"/>
          <w:szCs w:val="32"/>
        </w:rPr>
        <w:t>测的比例。</w:t>
      </w:r>
    </w:p>
    <w:p>
      <w:pPr>
        <w:ind w:firstLine="315" w:firstLineChars="150"/>
        <w:rPr>
          <w:rFonts w:ascii="仿宋_GB2312" w:eastAsia="仿宋_GB2312" w:hAnsiTheme="minorHAnsi" w:cstheme="minorBidi"/>
          <w:sz w:val="32"/>
          <w:szCs w:val="32"/>
        </w:rPr>
      </w:pPr>
      <w:r>
        <w:rPr>
          <w:rFonts w:asciiTheme="minorHAnsi" w:hAnsiTheme="minorHAnsi" w:eastAsiaTheme="minorEastAsia" w:cstheme="minorBidi"/>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510540</wp:posOffset>
                </wp:positionV>
                <wp:extent cx="5400675" cy="1828800"/>
                <wp:effectExtent l="0" t="0" r="28575" b="16510"/>
                <wp:wrapTight wrapText="bothSides">
                  <wp:wrapPolygon>
                    <wp:start x="0" y="0"/>
                    <wp:lineTo x="0" y="21522"/>
                    <wp:lineTo x="21638" y="21522"/>
                    <wp:lineTo x="21638" y="0"/>
                    <wp:lineTo x="0" y="0"/>
                  </wp:wrapPolygon>
                </wp:wrapTight>
                <wp:docPr id="3" name="文本框 3"/>
                <wp:cNvGraphicFramePr/>
                <a:graphic xmlns:a="http://schemas.openxmlformats.org/drawingml/2006/main">
                  <a:graphicData uri="http://schemas.microsoft.com/office/word/2010/wordprocessingShape">
                    <wps:wsp>
                      <wps:cNvSpPr txBox="1"/>
                      <wps:spPr>
                        <a:xfrm>
                          <a:off x="0" y="0"/>
                          <a:ext cx="5400675" cy="1828800"/>
                        </a:xfrm>
                        <a:prstGeom prst="rect">
                          <a:avLst/>
                        </a:prstGeom>
                        <a:noFill/>
                        <a:ln w="6350">
                          <a:solidFill>
                            <a:sysClr val="window" lastClr="FFFFFF"/>
                          </a:solidFill>
                        </a:ln>
                        <a:effectLst/>
                      </wps:spPr>
                      <wps:txbx>
                        <w:txbxContent>
                          <w:p>
                            <w:pPr>
                              <w:spacing w:line="320" w:lineRule="exact"/>
                              <w:ind w:firstLine="2100" w:firstLineChars="750"/>
                              <w:rPr>
                                <w:rFonts w:ascii="仿宋_GB2312" w:eastAsia="仿宋_GB2312"/>
                                <w:sz w:val="28"/>
                                <w:szCs w:val="32"/>
                              </w:rPr>
                            </w:pPr>
                            <w:r>
                              <w:rPr>
                                <w:rFonts w:hint="eastAsia" w:ascii="仿宋_GB2312" w:eastAsia="仿宋_GB2312"/>
                                <w:sz w:val="28"/>
                                <w:szCs w:val="32"/>
                              </w:rPr>
                              <w:t>本年度接受1次VL检测的患者人数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VL检测率＝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240" w:firstLineChars="800"/>
                              <w:rPr>
                                <w:rFonts w:ascii="仿宋_GB2312" w:eastAsia="仿宋_GB2312"/>
                                <w:sz w:val="28"/>
                                <w:szCs w:val="32"/>
                              </w:rPr>
                            </w:pPr>
                            <w:r>
                              <w:rPr>
                                <w:rFonts w:hint="eastAsia" w:ascii="仿宋_GB2312" w:eastAsia="仿宋_GB2312"/>
                                <w:sz w:val="28"/>
                                <w:szCs w:val="32"/>
                              </w:rPr>
                              <w:t>连续抗病毒治疗≥1年的患者人数</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5.25pt;margin-top:40.2pt;height:144pt;width:425.25pt;mso-wrap-distance-left:9pt;mso-wrap-distance-right:9pt;z-index:-251655168;mso-width-relative:page;mso-height-relative:page;" filled="f" stroked="t" coordsize="21600,21600" wrapcoords="0 0 0 21522 21638 21522 21638 0 0 0" o:gfxdata="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rBHCrZAAAACQEAAA8AAAAAAAAAAQAg&#10;AAAAIgAAAGRycy9kb3ducmV2LnhtbFBLAQIUABQAAAAIAIdO4kA4pxNIRgIAAGAEAAAOAAAAAAAA&#10;AAEAIAAAACgBAABkcnMvZTJvRG9jLnhtbFBLBQYAAAAABgAGAFkBAADgBQAAAAA=&#10;">
                <v:fill on="f" focussize="0,0"/>
                <v:stroke weight="0.5pt" color="#FFFFFF" joinstyle="round"/>
                <v:imagedata o:title=""/>
                <o:lock v:ext="edit" aspectratio="f"/>
                <v:textbox style="mso-fit-shape-to-text:t;">
                  <w:txbxContent>
                    <w:p>
                      <w:pPr>
                        <w:spacing w:line="320" w:lineRule="exact"/>
                        <w:ind w:firstLine="2100" w:firstLineChars="750"/>
                        <w:rPr>
                          <w:rFonts w:ascii="仿宋_GB2312" w:eastAsia="仿宋_GB2312"/>
                          <w:sz w:val="28"/>
                          <w:szCs w:val="32"/>
                        </w:rPr>
                      </w:pPr>
                      <w:r>
                        <w:rPr>
                          <w:rFonts w:hint="eastAsia" w:ascii="仿宋_GB2312" w:eastAsia="仿宋_GB2312"/>
                          <w:sz w:val="28"/>
                          <w:szCs w:val="32"/>
                        </w:rPr>
                        <w:t>本年度接受1次VL检测的患者人数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VL检测率＝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240" w:firstLineChars="800"/>
                        <w:rPr>
                          <w:rFonts w:ascii="仿宋_GB2312" w:eastAsia="仿宋_GB2312"/>
                          <w:sz w:val="28"/>
                          <w:szCs w:val="32"/>
                        </w:rPr>
                      </w:pPr>
                      <w:r>
                        <w:rPr>
                          <w:rFonts w:hint="eastAsia" w:ascii="仿宋_GB2312" w:eastAsia="仿宋_GB2312"/>
                          <w:sz w:val="28"/>
                          <w:szCs w:val="32"/>
                        </w:rPr>
                        <w:t>连续抗病毒治疗≥1年的患者人数</w:t>
                      </w:r>
                    </w:p>
                  </w:txbxContent>
                </v:textbox>
                <w10:wrap type="tight"/>
              </v:shape>
            </w:pict>
          </mc:Fallback>
        </mc:AlternateContent>
      </w:r>
      <w:r>
        <w:rPr>
          <w:rFonts w:hint="eastAsia" w:eastAsia="仿宋_GB2312" w:asciiTheme="minorHAnsi" w:hAnsiTheme="minorHAnsi" w:cstheme="minorBidi"/>
          <w:sz w:val="32"/>
          <w:szCs w:val="32"/>
        </w:rPr>
        <w:t>计算公式：</w:t>
      </w:r>
    </w:p>
    <w:p>
      <w:pPr>
        <w:ind w:firstLine="480" w:firstLineChars="150"/>
        <w:rPr>
          <w:rFonts w:ascii="仿宋_GB2312" w:eastAsia="仿宋_GB2312" w:hAnsiTheme="minorHAnsi" w:cstheme="minorBidi"/>
          <w:sz w:val="32"/>
          <w:szCs w:val="32"/>
        </w:rPr>
      </w:pPr>
      <w:r>
        <w:rPr>
          <w:rFonts w:hint="eastAsia" w:eastAsia="仿宋_GB2312" w:asciiTheme="minorHAnsi" w:hAnsiTheme="minorHAnsi" w:cstheme="minorBidi"/>
          <w:sz w:val="32"/>
          <w:szCs w:val="32"/>
        </w:rPr>
        <w:t>意义：</w:t>
      </w:r>
      <w:r>
        <w:rPr>
          <w:rFonts w:hint="eastAsia" w:ascii="仿宋_GB2312" w:eastAsia="仿宋_GB2312" w:hAnsiTheme="minorHAnsi" w:cstheme="minorBidi"/>
          <w:sz w:val="32"/>
          <w:szCs w:val="32"/>
        </w:rPr>
        <w:t>VL检测是用于评估患者抗病毒治疗效果的唯一措施，能够尽快发现抗病毒治疗失败的患者，进行评估并给予有效干预，达到病毒抑制的治疗效果，从而有效降低严重机会性感染、并发症和死亡的发生率，提高患者生存质量。</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说明：1.指标只对连续抗病毒治疗≥1年患者的VL检测情况进行统计，对于患者抗病毒治疗前的VL检测不纳入统计范围；2.</w:t>
      </w:r>
      <w:r>
        <w:rPr>
          <w:rFonts w:hint="eastAsia" w:asciiTheme="minorHAnsi" w:hAnsiTheme="minorHAnsi" w:eastAsiaTheme="minorEastAsia" w:cstheme="minorBidi"/>
        </w:rPr>
        <w:t xml:space="preserve"> </w:t>
      </w:r>
      <w:r>
        <w:rPr>
          <w:rFonts w:hint="eastAsia" w:ascii="仿宋_GB2312" w:eastAsia="仿宋_GB2312" w:hAnsiTheme="minorHAnsi" w:cstheme="minorBidi"/>
          <w:sz w:val="32"/>
          <w:szCs w:val="32"/>
        </w:rPr>
        <w:t>数据由中国疾病预防控制信息系统应用门户传染病报告监测系统自动统计并调取。</w:t>
      </w:r>
    </w:p>
    <w:p>
      <w:pPr>
        <w:ind w:firstLine="480" w:firstLineChars="150"/>
        <w:rPr>
          <w:rFonts w:ascii="仿宋_GB2312" w:eastAsia="仿宋_GB2312" w:hAnsiTheme="minorHAnsi" w:cstheme="minorBidi"/>
          <w:sz w:val="32"/>
          <w:szCs w:val="32"/>
        </w:rPr>
      </w:pPr>
      <w:r>
        <w:rPr>
          <w:rFonts w:hint="eastAsia" w:ascii="黑体" w:hAnsi="黑体" w:eastAsia="黑体" w:cstheme="minorBidi"/>
          <w:sz w:val="32"/>
          <w:szCs w:val="32"/>
        </w:rPr>
        <w:t>指标四、艾滋病抗病毒治疗药物处方合格率</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定义：某定点机构时间段内合格艾滋病抗病毒治疗药物处方的比例。</w:t>
      </w:r>
    </w:p>
    <w:p>
      <w:pPr>
        <w:ind w:firstLine="315" w:firstLineChars="150"/>
        <w:rPr>
          <w:rFonts w:ascii="仿宋_GB2312" w:eastAsia="仿宋_GB2312" w:hAnsiTheme="minorHAnsi" w:cstheme="minorBidi"/>
          <w:sz w:val="32"/>
          <w:szCs w:val="32"/>
        </w:rPr>
      </w:pPr>
      <w:r>
        <w:rPr>
          <w:rFonts w:asciiTheme="minorHAnsi" w:hAnsiTheme="minorHAnsi" w:eastAsiaTheme="minorEastAsia" w:cstheme="minorBidi"/>
        </w:rPr>
        <mc:AlternateContent>
          <mc:Choice Requires="wps">
            <w:drawing>
              <wp:anchor distT="0" distB="0" distL="114300" distR="114300" simplePos="0" relativeHeight="251662336" behindDoc="1" locked="0" layoutInCell="1" allowOverlap="1">
                <wp:simplePos x="0" y="0"/>
                <wp:positionH relativeFrom="column">
                  <wp:posOffset>-28575</wp:posOffset>
                </wp:positionH>
                <wp:positionV relativeFrom="paragraph">
                  <wp:posOffset>479425</wp:posOffset>
                </wp:positionV>
                <wp:extent cx="5400675" cy="1828800"/>
                <wp:effectExtent l="0" t="0" r="28575" b="16510"/>
                <wp:wrapTight wrapText="bothSides">
                  <wp:wrapPolygon>
                    <wp:start x="0" y="0"/>
                    <wp:lineTo x="0" y="21522"/>
                    <wp:lineTo x="21638" y="21522"/>
                    <wp:lineTo x="21638" y="0"/>
                    <wp:lineTo x="0" y="0"/>
                  </wp:wrapPolygon>
                </wp:wrapTight>
                <wp:docPr id="4" name="文本框 4"/>
                <wp:cNvGraphicFramePr/>
                <a:graphic xmlns:a="http://schemas.openxmlformats.org/drawingml/2006/main">
                  <a:graphicData uri="http://schemas.microsoft.com/office/word/2010/wordprocessingShape">
                    <wps:wsp>
                      <wps:cNvSpPr txBox="1"/>
                      <wps:spPr>
                        <a:xfrm>
                          <a:off x="0" y="0"/>
                          <a:ext cx="5400675" cy="1828800"/>
                        </a:xfrm>
                        <a:prstGeom prst="rect">
                          <a:avLst/>
                        </a:prstGeom>
                        <a:noFill/>
                        <a:ln w="6350">
                          <a:solidFill>
                            <a:sysClr val="window" lastClr="FFFFFF"/>
                          </a:solidFill>
                        </a:ln>
                        <a:effectLst/>
                      </wps:spPr>
                      <wps:txbx>
                        <w:txbxContent>
                          <w:p>
                            <w:pPr>
                              <w:spacing w:line="320" w:lineRule="exact"/>
                              <w:ind w:firstLine="2800" w:firstLineChars="1000"/>
                              <w:rPr>
                                <w:rFonts w:ascii="仿宋_GB2312" w:eastAsia="仿宋_GB2312"/>
                                <w:sz w:val="28"/>
                                <w:szCs w:val="32"/>
                              </w:rPr>
                            </w:pPr>
                            <w:r>
                              <w:rPr>
                                <w:rFonts w:hint="eastAsia" w:ascii="仿宋_GB2312" w:eastAsia="仿宋_GB2312"/>
                                <w:sz w:val="28"/>
                                <w:szCs w:val="32"/>
                              </w:rPr>
                              <w:t>合格抗病毒治疗药物处方数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处方合格率＝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1960" w:firstLineChars="700"/>
                              <w:rPr>
                                <w:rFonts w:ascii="仿宋_GB2312" w:eastAsia="仿宋_GB2312"/>
                                <w:sz w:val="28"/>
                                <w:szCs w:val="32"/>
                              </w:rPr>
                            </w:pPr>
                            <w:r>
                              <w:rPr>
                                <w:rFonts w:hint="eastAsia" w:ascii="仿宋_GB2312" w:eastAsia="仿宋_GB2312"/>
                                <w:sz w:val="28"/>
                                <w:szCs w:val="32"/>
                              </w:rPr>
                              <w:t>时间段内定点机构抗病毒治疗药物处方数</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37.75pt;height:144pt;width:425.25pt;mso-wrap-distance-left:9pt;mso-wrap-distance-right:9pt;z-index:-251654144;mso-width-relative:page;mso-height-relative:page;" filled="f" stroked="t" coordsize="21600,21600" wrapcoords="0 0 0 21522 21638 21522 21638 0 0 0" o:gfxdata="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PcO77aAAAACQEAAA8AAAAAAAAAAQAg&#10;AAAAIgAAAGRycy9kb3ducmV2LnhtbFBLAQIUABQAAAAIAIdO4kAao0r8RQIAAGAEAAAOAAAAAAAA&#10;AAEAIAAAACkBAABkcnMvZTJvRG9jLnhtbFBLBQYAAAAABgAGAFkBAADgBQAAAAA=&#10;">
                <v:fill on="f" focussize="0,0"/>
                <v:stroke weight="0.5pt" color="#FFFFFF" joinstyle="round"/>
                <v:imagedata o:title=""/>
                <o:lock v:ext="edit" aspectratio="f"/>
                <v:textbox style="mso-fit-shape-to-text:t;">
                  <w:txbxContent>
                    <w:p>
                      <w:pPr>
                        <w:spacing w:line="320" w:lineRule="exact"/>
                        <w:ind w:firstLine="2800" w:firstLineChars="1000"/>
                        <w:rPr>
                          <w:rFonts w:ascii="仿宋_GB2312" w:eastAsia="仿宋_GB2312"/>
                          <w:sz w:val="28"/>
                          <w:szCs w:val="32"/>
                        </w:rPr>
                      </w:pPr>
                      <w:r>
                        <w:rPr>
                          <w:rFonts w:hint="eastAsia" w:ascii="仿宋_GB2312" w:eastAsia="仿宋_GB2312"/>
                          <w:sz w:val="28"/>
                          <w:szCs w:val="32"/>
                        </w:rPr>
                        <w:t>合格抗病毒治疗药物处方数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处方合格率＝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1960" w:firstLineChars="700"/>
                        <w:rPr>
                          <w:rFonts w:ascii="仿宋_GB2312" w:eastAsia="仿宋_GB2312"/>
                          <w:sz w:val="28"/>
                          <w:szCs w:val="32"/>
                        </w:rPr>
                      </w:pPr>
                      <w:r>
                        <w:rPr>
                          <w:rFonts w:hint="eastAsia" w:ascii="仿宋_GB2312" w:eastAsia="仿宋_GB2312"/>
                          <w:sz w:val="28"/>
                          <w:szCs w:val="32"/>
                        </w:rPr>
                        <w:t>时间段内定点机构抗病毒治疗药物处方数</w:t>
                      </w:r>
                    </w:p>
                  </w:txbxContent>
                </v:textbox>
                <w10:wrap type="tight"/>
              </v:shape>
            </w:pict>
          </mc:Fallback>
        </mc:AlternateContent>
      </w:r>
      <w:r>
        <w:rPr>
          <w:rFonts w:hint="eastAsia" w:ascii="仿宋_GB2312" w:eastAsia="仿宋_GB2312" w:hAnsiTheme="minorHAnsi" w:cstheme="minorBidi"/>
          <w:sz w:val="32"/>
          <w:szCs w:val="32"/>
        </w:rPr>
        <w:t>计算公式：</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意义：药物处方体现了制定抗病毒治疗方案、确定治疗药物用法用量、药师审核发药、用药交代及患者确认的全过程管理情况，从一定程度上反应了诊疗过程的规范程度。</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说明：1.处方合格的标准是按照《处方管理办法》《河南省艾滋病免费抗病毒治疗药品管理办法（试行）》等要求进行评价；2.处方合格率是统计一家定点救治机构、某个时间段内的抗病毒治疗处方药物的情况；3.数据来由河南省艾滋病诊疗质量控制中心（以下简称“省质控中心”）抽样调查并进行数据汇总统计，每个地点机构原则上应抽查不少于50张处方。</w:t>
      </w:r>
    </w:p>
    <w:p>
      <w:pPr>
        <w:ind w:firstLine="480" w:firstLineChars="150"/>
        <w:rPr>
          <w:rFonts w:ascii="仿宋_GB2312" w:eastAsia="仿宋_GB2312" w:hAnsiTheme="minorHAnsi" w:cstheme="minorBidi"/>
          <w:sz w:val="32"/>
          <w:szCs w:val="32"/>
        </w:rPr>
      </w:pPr>
      <w:r>
        <w:rPr>
          <w:rFonts w:hint="eastAsia" w:ascii="黑体" w:hAnsi="黑体" w:eastAsia="黑体" w:cstheme="minorBidi"/>
          <w:sz w:val="32"/>
          <w:szCs w:val="32"/>
        </w:rPr>
        <w:t>指标五、艾滋病抗病毒治疗药品规范管理率</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定义：辖区内所有定点机构艾滋病抗病毒治疗药品管理规范化管理（以下简称规范管理）比例。</w:t>
      </w:r>
    </w:p>
    <w:p>
      <w:pPr>
        <w:ind w:firstLine="315" w:firstLineChars="150"/>
        <w:rPr>
          <w:rFonts w:ascii="仿宋_GB2312" w:eastAsia="仿宋_GB2312" w:hAnsiTheme="minorHAnsi" w:cstheme="minorBidi"/>
          <w:sz w:val="32"/>
          <w:szCs w:val="32"/>
        </w:rPr>
      </w:pPr>
      <w:r>
        <w:rPr>
          <w:rFonts w:asciiTheme="minorHAnsi" w:hAnsiTheme="minorHAnsi" w:eastAsiaTheme="minorEastAsia" w:cstheme="minorBidi"/>
        </w:rPr>
        <mc:AlternateContent>
          <mc:Choice Requires="wps">
            <w:drawing>
              <wp:anchor distT="0" distB="0" distL="114300" distR="114300" simplePos="0" relativeHeight="251663360" behindDoc="1" locked="0" layoutInCell="1" allowOverlap="1">
                <wp:simplePos x="0" y="0"/>
                <wp:positionH relativeFrom="column">
                  <wp:posOffset>28575</wp:posOffset>
                </wp:positionH>
                <wp:positionV relativeFrom="paragraph">
                  <wp:posOffset>365760</wp:posOffset>
                </wp:positionV>
                <wp:extent cx="5400675" cy="1828800"/>
                <wp:effectExtent l="0" t="0" r="28575" b="16510"/>
                <wp:wrapTight wrapText="bothSides">
                  <wp:wrapPolygon>
                    <wp:start x="0" y="0"/>
                    <wp:lineTo x="0" y="21522"/>
                    <wp:lineTo x="21638" y="21522"/>
                    <wp:lineTo x="21638" y="0"/>
                    <wp:lineTo x="0" y="0"/>
                  </wp:wrapPolygon>
                </wp:wrapTight>
                <wp:docPr id="5" name="文本框 5"/>
                <wp:cNvGraphicFramePr/>
                <a:graphic xmlns:a="http://schemas.openxmlformats.org/drawingml/2006/main">
                  <a:graphicData uri="http://schemas.microsoft.com/office/word/2010/wordprocessingShape">
                    <wps:wsp>
                      <wps:cNvSpPr txBox="1"/>
                      <wps:spPr>
                        <a:xfrm>
                          <a:off x="0" y="0"/>
                          <a:ext cx="5400675" cy="1828800"/>
                        </a:xfrm>
                        <a:prstGeom prst="rect">
                          <a:avLst/>
                        </a:prstGeom>
                        <a:noFill/>
                        <a:ln w="6350">
                          <a:solidFill>
                            <a:sysClr val="window" lastClr="FFFFFF"/>
                          </a:solidFill>
                        </a:ln>
                        <a:effectLst/>
                      </wps:spPr>
                      <wps:txbx>
                        <w:txbxContent>
                          <w:p>
                            <w:pPr>
                              <w:spacing w:line="320" w:lineRule="exact"/>
                              <w:ind w:firstLine="2800" w:firstLineChars="1000"/>
                              <w:rPr>
                                <w:rFonts w:ascii="仿宋_GB2312" w:eastAsia="仿宋_GB2312"/>
                                <w:sz w:val="28"/>
                                <w:szCs w:val="32"/>
                              </w:rPr>
                            </w:pPr>
                            <w:r>
                              <w:rPr>
                                <w:rFonts w:hint="eastAsia" w:ascii="仿宋_GB2312" w:eastAsia="仿宋_GB2312"/>
                                <w:sz w:val="28"/>
                                <w:szCs w:val="32"/>
                              </w:rPr>
                              <w:t>符合药品规范管理的项目数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规范管理率＝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380" w:firstLineChars="850"/>
                              <w:rPr>
                                <w:rFonts w:ascii="仿宋_GB2312" w:eastAsia="仿宋_GB2312"/>
                                <w:sz w:val="28"/>
                                <w:szCs w:val="32"/>
                              </w:rPr>
                            </w:pPr>
                            <w:r>
                              <w:rPr>
                                <w:rFonts w:hint="eastAsia" w:ascii="仿宋_GB2312" w:eastAsia="仿宋_GB2312"/>
                                <w:sz w:val="28"/>
                                <w:szCs w:val="32"/>
                              </w:rPr>
                              <w:t>药品规范管理情况核查项目总数</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28.8pt;height:144pt;width:425.25pt;mso-wrap-distance-left:9pt;mso-wrap-distance-right:9pt;z-index:-251653120;mso-width-relative:page;mso-height-relative:page;" filled="f" stroked="t" coordsize="21600,21600" wrapcoords="0 0 0 21522 21638 21522 21638 0 0 0" o:gfxdata="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bFs4b2QAAAAgBAAAPAAAAAAAAAAEAIAAA&#10;ACIAAABkcnMvZG93bnJldi54bWxQSwECFAAUAAAACACHTuJA+s10SkQCAABgBAAADgAAAAAAAAAB&#10;ACAAAAAoAQAAZHJzL2Uyb0RvYy54bWxQSwUGAAAAAAYABgBZAQAA3gUAAAAA&#10;">
                <v:fill on="f" focussize="0,0"/>
                <v:stroke weight="0.5pt" color="#FFFFFF" joinstyle="round"/>
                <v:imagedata o:title=""/>
                <o:lock v:ext="edit" aspectratio="f"/>
                <v:textbox style="mso-fit-shape-to-text:t;">
                  <w:txbxContent>
                    <w:p>
                      <w:pPr>
                        <w:spacing w:line="320" w:lineRule="exact"/>
                        <w:ind w:firstLine="2800" w:firstLineChars="1000"/>
                        <w:rPr>
                          <w:rFonts w:ascii="仿宋_GB2312" w:eastAsia="仿宋_GB2312"/>
                          <w:sz w:val="28"/>
                          <w:szCs w:val="32"/>
                        </w:rPr>
                      </w:pPr>
                      <w:r>
                        <w:rPr>
                          <w:rFonts w:hint="eastAsia" w:ascii="仿宋_GB2312" w:eastAsia="仿宋_GB2312"/>
                          <w:sz w:val="28"/>
                          <w:szCs w:val="32"/>
                        </w:rPr>
                        <w:t>符合药品规范管理的项目数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规范管理率＝</w:t>
                      </w:r>
                      <w:r>
                        <w:rPr>
                          <w:rFonts w:hint="eastAsia" w:ascii="仿宋_GB2312" w:eastAsia="仿宋_GB2312"/>
                          <w:sz w:val="28"/>
                          <w:szCs w:val="32"/>
                          <w:vertAlign w:val="subscript"/>
                        </w:rPr>
                        <w:t xml:space="preserve"> </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380" w:firstLineChars="850"/>
                        <w:rPr>
                          <w:rFonts w:ascii="仿宋_GB2312" w:eastAsia="仿宋_GB2312"/>
                          <w:sz w:val="28"/>
                          <w:szCs w:val="32"/>
                        </w:rPr>
                      </w:pPr>
                      <w:r>
                        <w:rPr>
                          <w:rFonts w:hint="eastAsia" w:ascii="仿宋_GB2312" w:eastAsia="仿宋_GB2312"/>
                          <w:sz w:val="28"/>
                          <w:szCs w:val="32"/>
                        </w:rPr>
                        <w:t>药品规范管理情况核查项目总数</w:t>
                      </w:r>
                    </w:p>
                  </w:txbxContent>
                </v:textbox>
                <w10:wrap type="tight"/>
              </v:shape>
            </w:pict>
          </mc:Fallback>
        </mc:AlternateContent>
      </w:r>
      <w:r>
        <w:rPr>
          <w:rFonts w:hint="eastAsia" w:ascii="仿宋_GB2312" w:eastAsia="仿宋_GB2312" w:hAnsiTheme="minorHAnsi" w:cstheme="minorBidi"/>
          <w:sz w:val="32"/>
          <w:szCs w:val="32"/>
        </w:rPr>
        <w:t>计算公式：</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意义：艾滋病抗病毒治疗药物是确保抗病毒治疗顺利开展的关键要素之一，药品规范管理是保证药品质量，增进药品疗效，保障患者用药安全，维护患者身体健康，确保抗病毒治疗成功率不断提升的重要措施。</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说明：1.按照《中华人民共和国药品管理法》《医疗机构药事管理规定》《河南省艾滋病免费抗病毒治疗药品管理办法（试行）》等规定，分类制定药品管理核查项目（见附</w:t>
      </w:r>
      <w:r>
        <w:rPr>
          <w:rFonts w:hint="eastAsia" w:ascii="仿宋_GB2312" w:eastAsia="仿宋_GB2312" w:hAnsiTheme="minorHAnsi" w:cstheme="minorBidi"/>
          <w:sz w:val="32"/>
          <w:szCs w:val="32"/>
          <w:lang w:eastAsia="zh-CN"/>
        </w:rPr>
        <w:t>表</w:t>
      </w:r>
      <w:r>
        <w:rPr>
          <w:rFonts w:hint="eastAsia" w:ascii="仿宋_GB2312" w:eastAsia="仿宋_GB2312" w:hAnsiTheme="minorHAnsi" w:cstheme="minorBidi"/>
          <w:sz w:val="32"/>
          <w:szCs w:val="32"/>
        </w:rPr>
        <w:t>），用于评价辖区内各定点机构药品管理的情况，符合要求的评价为“规范”；2.数据来自省质控中心核查、汇总、统计各省辖市、济源示范区的药品管理情况。</w:t>
      </w:r>
    </w:p>
    <w:p>
      <w:pPr>
        <w:ind w:firstLine="480" w:firstLineChars="150"/>
        <w:rPr>
          <w:rFonts w:ascii="仿宋_GB2312" w:eastAsia="仿宋_GB2312" w:hAnsiTheme="minorHAnsi" w:cstheme="minorBidi"/>
          <w:sz w:val="32"/>
          <w:szCs w:val="32"/>
        </w:rPr>
      </w:pPr>
      <w:r>
        <w:rPr>
          <w:rFonts w:hint="eastAsia" w:ascii="黑体" w:hAnsi="黑体" w:eastAsia="黑体" w:cstheme="minorBidi"/>
          <w:sz w:val="32"/>
          <w:szCs w:val="32"/>
        </w:rPr>
        <w:t>指标六、抗病毒治疗比例</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定义：年度内存活并进行抗病毒治疗的患者与存活的HIV/AIDS感染者的比例。</w:t>
      </w:r>
    </w:p>
    <w:p>
      <w:pPr>
        <w:ind w:firstLine="315" w:firstLineChars="150"/>
        <w:rPr>
          <w:rFonts w:ascii="仿宋_GB2312" w:eastAsia="仿宋_GB2312" w:hAnsiTheme="minorHAnsi" w:cstheme="minorBidi"/>
          <w:sz w:val="32"/>
          <w:szCs w:val="32"/>
        </w:rPr>
      </w:pPr>
      <w:r>
        <w:rPr>
          <w:rFonts w:asciiTheme="minorHAnsi" w:hAnsiTheme="minorHAnsi" w:eastAsiaTheme="minorEastAsia" w:cstheme="minorBidi"/>
        </w:rPr>
        <mc:AlternateContent>
          <mc:Choice Requires="wps">
            <w:drawing>
              <wp:anchor distT="0" distB="0" distL="114300" distR="114300" simplePos="0" relativeHeight="251664384" behindDoc="1" locked="0" layoutInCell="1" allowOverlap="1">
                <wp:simplePos x="0" y="0"/>
                <wp:positionH relativeFrom="column">
                  <wp:posOffset>0</wp:posOffset>
                </wp:positionH>
                <wp:positionV relativeFrom="paragraph">
                  <wp:posOffset>459105</wp:posOffset>
                </wp:positionV>
                <wp:extent cx="5610225" cy="1828800"/>
                <wp:effectExtent l="0" t="0" r="28575" b="13970"/>
                <wp:wrapTight wrapText="bothSides">
                  <wp:wrapPolygon>
                    <wp:start x="0" y="0"/>
                    <wp:lineTo x="0" y="21478"/>
                    <wp:lineTo x="21637" y="21478"/>
                    <wp:lineTo x="21637" y="0"/>
                    <wp:lineTo x="0" y="0"/>
                  </wp:wrapPolygon>
                </wp:wrapTight>
                <wp:docPr id="6" name="文本框 6"/>
                <wp:cNvGraphicFramePr/>
                <a:graphic xmlns:a="http://schemas.openxmlformats.org/drawingml/2006/main">
                  <a:graphicData uri="http://schemas.microsoft.com/office/word/2010/wordprocessingShape">
                    <wps:wsp>
                      <wps:cNvSpPr txBox="1"/>
                      <wps:spPr>
                        <a:xfrm>
                          <a:off x="0" y="0"/>
                          <a:ext cx="5610225" cy="1828800"/>
                        </a:xfrm>
                        <a:prstGeom prst="rect">
                          <a:avLst/>
                        </a:prstGeom>
                        <a:noFill/>
                        <a:ln w="6350">
                          <a:solidFill>
                            <a:sysClr val="window" lastClr="FFFFFF"/>
                          </a:solidFill>
                        </a:ln>
                        <a:effectLst/>
                      </wps:spPr>
                      <wps:txbx>
                        <w:txbxContent>
                          <w:p>
                            <w:pPr>
                              <w:spacing w:line="320" w:lineRule="exact"/>
                              <w:ind w:firstLine="2660" w:firstLineChars="950"/>
                              <w:rPr>
                                <w:rFonts w:ascii="仿宋_GB2312" w:eastAsia="仿宋_GB2312"/>
                                <w:sz w:val="28"/>
                                <w:szCs w:val="32"/>
                              </w:rPr>
                            </w:pPr>
                            <w:r>
                              <w:rPr>
                                <w:rFonts w:hint="eastAsia" w:ascii="仿宋_GB2312" w:eastAsia="仿宋_GB2312"/>
                                <w:sz w:val="28"/>
                                <w:szCs w:val="32"/>
                              </w:rPr>
                              <w:t>存活并进行抗病毒治疗的患者人数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抗病毒治疗比例＝</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940" w:firstLineChars="1050"/>
                              <w:rPr>
                                <w:rFonts w:ascii="仿宋_GB2312" w:eastAsia="仿宋_GB2312"/>
                                <w:sz w:val="28"/>
                                <w:szCs w:val="32"/>
                              </w:rPr>
                            </w:pPr>
                            <w:r>
                              <w:rPr>
                                <w:rFonts w:hint="eastAsia" w:ascii="仿宋_GB2312" w:eastAsia="仿宋_GB2312"/>
                                <w:sz w:val="28"/>
                                <w:szCs w:val="32"/>
                              </w:rPr>
                              <w:t>存活的HIV/AIDS感染者人数</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36.15pt;height:144pt;width:441.75pt;mso-wrap-distance-left:9pt;mso-wrap-distance-right:9pt;z-index:-251652096;mso-width-relative:page;mso-height-relative:page;" filled="f" stroked="t" coordsize="21600,21600" wrapcoords="0 0 0 21478 21637 21478 21637 0 0 0" o:gfxdata="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e71GX2AAAAAcBAAAPAAAAAAAAAAEAIAAA&#10;ACIAAABkcnMvZG93bnJldi54bWxQSwECFAAUAAAACACHTuJAyezycUUCAABgBAAADgAAAAAAAAAB&#10;ACAAAAAnAQAAZHJzL2Uyb0RvYy54bWxQSwUGAAAAAAYABgBZAQAA3gUAAAAA&#10;">
                <v:fill on="f" focussize="0,0"/>
                <v:stroke weight="0.5pt" color="#FFFFFF" joinstyle="round"/>
                <v:imagedata o:title=""/>
                <o:lock v:ext="edit" aspectratio="f"/>
                <v:textbox style="mso-fit-shape-to-text:t;">
                  <w:txbxContent>
                    <w:p>
                      <w:pPr>
                        <w:spacing w:line="320" w:lineRule="exact"/>
                        <w:ind w:firstLine="2660" w:firstLineChars="950"/>
                        <w:rPr>
                          <w:rFonts w:ascii="仿宋_GB2312" w:eastAsia="仿宋_GB2312"/>
                          <w:sz w:val="28"/>
                          <w:szCs w:val="32"/>
                        </w:rPr>
                      </w:pPr>
                      <w:r>
                        <w:rPr>
                          <w:rFonts w:hint="eastAsia" w:ascii="仿宋_GB2312" w:eastAsia="仿宋_GB2312"/>
                          <w:sz w:val="28"/>
                          <w:szCs w:val="32"/>
                        </w:rPr>
                        <w:t>存活并进行抗病毒治疗的患者人数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抗病毒治疗比例＝</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2940" w:firstLineChars="1050"/>
                        <w:rPr>
                          <w:rFonts w:ascii="仿宋_GB2312" w:eastAsia="仿宋_GB2312"/>
                          <w:sz w:val="28"/>
                          <w:szCs w:val="32"/>
                        </w:rPr>
                      </w:pPr>
                      <w:r>
                        <w:rPr>
                          <w:rFonts w:hint="eastAsia" w:ascii="仿宋_GB2312" w:eastAsia="仿宋_GB2312"/>
                          <w:sz w:val="28"/>
                          <w:szCs w:val="32"/>
                        </w:rPr>
                        <w:t>存活的HIV/AIDS感染者人数</w:t>
                      </w:r>
                    </w:p>
                  </w:txbxContent>
                </v:textbox>
                <w10:wrap type="tight"/>
              </v:shape>
            </w:pict>
          </mc:Fallback>
        </mc:AlternateContent>
      </w:r>
      <w:r>
        <w:rPr>
          <w:rFonts w:hint="eastAsia" w:ascii="仿宋_GB2312" w:eastAsia="仿宋_GB2312" w:hAnsiTheme="minorHAnsi" w:cstheme="minorBidi"/>
          <w:sz w:val="32"/>
          <w:szCs w:val="32"/>
        </w:rPr>
        <w:t>计算公式：</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意义：1.抗病毒治疗比例（抗病毒治疗覆盖率）是国家艾滋病医疗救治考核的重要指标之一，是世界卫生组织艾滋病防治三大目标之一；2.尽早将HIV/AIDS感染者纳入抗病毒治疗管理，不断提高抗病毒治疗比例，是目前遏制艾滋病流行、降低传播风险、降低死亡率的重要措施。</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说明：1.年度内已经接受抗病毒治疗的患者，但不包括曾经接受过抗病毒治疗但在统计时间节点时已经退出、失访、停药或死亡的患者；2.数据由中国疾病预防控制信息系统应用门户传染病报告监测系统自动统计并调取。</w:t>
      </w:r>
    </w:p>
    <w:p>
      <w:pPr>
        <w:ind w:firstLine="480" w:firstLineChars="150"/>
        <w:rPr>
          <w:rFonts w:ascii="仿宋_GB2312" w:eastAsia="仿宋_GB2312" w:hAnsiTheme="minorHAnsi" w:cstheme="minorBidi"/>
          <w:sz w:val="32"/>
          <w:szCs w:val="32"/>
        </w:rPr>
      </w:pPr>
      <w:r>
        <w:rPr>
          <w:rFonts w:hint="eastAsia" w:ascii="黑体" w:hAnsi="黑体" w:eastAsia="黑体" w:cstheme="minorBidi"/>
          <w:sz w:val="32"/>
          <w:szCs w:val="32"/>
        </w:rPr>
        <w:t>指标七、病毒抑制率暨抗病毒治疗成功率</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定义：抗病毒治疗≥1年的在治患者，本年度内接受过VL检测的患者中，VL＜50C</w:t>
      </w:r>
      <w:r>
        <w:rPr>
          <w:rFonts w:ascii="仿宋_GB2312" w:eastAsia="仿宋_GB2312" w:hAnsiTheme="minorHAnsi" w:cstheme="minorBidi"/>
          <w:sz w:val="32"/>
          <w:szCs w:val="32"/>
        </w:rPr>
        <w:t>opies</w:t>
      </w:r>
      <w:r>
        <w:rPr>
          <w:rFonts w:hint="eastAsia" w:ascii="仿宋_GB2312" w:eastAsia="仿宋_GB2312" w:hAnsiTheme="minorHAnsi" w:cstheme="minorBidi"/>
          <w:sz w:val="32"/>
          <w:szCs w:val="32"/>
        </w:rPr>
        <w:t>/ml的患者所占比例。</w:t>
      </w:r>
    </w:p>
    <w:p>
      <w:pPr>
        <w:ind w:firstLine="315" w:firstLineChars="150"/>
        <w:rPr>
          <w:rFonts w:ascii="仿宋_GB2312" w:eastAsia="仿宋_GB2312" w:hAnsiTheme="minorHAnsi" w:cstheme="minorBidi"/>
          <w:sz w:val="32"/>
          <w:szCs w:val="32"/>
        </w:rPr>
      </w:pPr>
      <w:r>
        <w:rPr>
          <w:rFonts w:asciiTheme="minorHAnsi" w:hAnsiTheme="minorHAnsi" w:eastAsiaTheme="minorEastAsia" w:cstheme="minorBidi"/>
        </w:rPr>
        <mc:AlternateContent>
          <mc:Choice Requires="wps">
            <w:drawing>
              <wp:anchor distT="0" distB="0" distL="114300" distR="114300" simplePos="0" relativeHeight="251665408" behindDoc="1" locked="0" layoutInCell="1" allowOverlap="1">
                <wp:simplePos x="0" y="0"/>
                <wp:positionH relativeFrom="column">
                  <wp:posOffset>-123825</wp:posOffset>
                </wp:positionH>
                <wp:positionV relativeFrom="paragraph">
                  <wp:posOffset>567690</wp:posOffset>
                </wp:positionV>
                <wp:extent cx="5610225" cy="1828800"/>
                <wp:effectExtent l="0" t="0" r="28575" b="16510"/>
                <wp:wrapTight wrapText="bothSides">
                  <wp:wrapPolygon>
                    <wp:start x="0" y="0"/>
                    <wp:lineTo x="0" y="21522"/>
                    <wp:lineTo x="21637" y="21522"/>
                    <wp:lineTo x="21637" y="0"/>
                    <wp:lineTo x="0" y="0"/>
                  </wp:wrapPolygon>
                </wp:wrapTight>
                <wp:docPr id="7" name="文本框 7"/>
                <wp:cNvGraphicFramePr/>
                <a:graphic xmlns:a="http://schemas.openxmlformats.org/drawingml/2006/main">
                  <a:graphicData uri="http://schemas.microsoft.com/office/word/2010/wordprocessingShape">
                    <wps:wsp>
                      <wps:cNvSpPr txBox="1"/>
                      <wps:spPr>
                        <a:xfrm>
                          <a:off x="0" y="0"/>
                          <a:ext cx="5610225" cy="1828800"/>
                        </a:xfrm>
                        <a:prstGeom prst="rect">
                          <a:avLst/>
                        </a:prstGeom>
                        <a:noFill/>
                        <a:ln w="6350">
                          <a:solidFill>
                            <a:sysClr val="window" lastClr="FFFFFF"/>
                          </a:solidFill>
                        </a:ln>
                        <a:effectLst/>
                      </wps:spPr>
                      <wps:txbx>
                        <w:txbxContent>
                          <w:p>
                            <w:pPr>
                              <w:spacing w:line="320" w:lineRule="exact"/>
                              <w:ind w:firstLine="2520" w:firstLineChars="900"/>
                              <w:rPr>
                                <w:rFonts w:ascii="仿宋_GB2312" w:eastAsia="仿宋_GB2312"/>
                                <w:sz w:val="28"/>
                                <w:szCs w:val="32"/>
                              </w:rPr>
                            </w:pPr>
                            <w:r>
                              <w:rPr>
                                <w:rFonts w:hint="eastAsia" w:ascii="仿宋_GB2312" w:eastAsia="仿宋_GB2312"/>
                                <w:sz w:val="28"/>
                                <w:szCs w:val="32"/>
                              </w:rPr>
                              <w:t>VL＜50 Copies/ml的患者数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病毒抑制率＝</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1960" w:firstLineChars="700"/>
                              <w:rPr>
                                <w:rFonts w:ascii="仿宋_GB2312" w:eastAsia="仿宋_GB2312"/>
                                <w:sz w:val="28"/>
                                <w:szCs w:val="32"/>
                              </w:rPr>
                            </w:pPr>
                            <w:r>
                              <w:rPr>
                                <w:rFonts w:hint="eastAsia" w:ascii="仿宋_GB2312" w:eastAsia="仿宋_GB2312"/>
                                <w:sz w:val="28"/>
                                <w:szCs w:val="32"/>
                              </w:rPr>
                              <w:t>治疗≥1年且本年度接受过VL检测的患者数</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id="_x0000_s1026" o:spid="_x0000_s1026" o:spt="202" type="#_x0000_t202" style="position:absolute;left:0pt;margin-left:-9.75pt;margin-top:44.7pt;height:144pt;width:441.75pt;mso-wrap-distance-left:9pt;mso-wrap-distance-right:9pt;z-index:-251651072;v-text-anchor:middle;mso-width-relative:page;mso-height-relative:page;" filled="f" stroked="t" coordsize="21600,21600" wrapcoords="0 0 0 21522 21637 21522 21637 0 0 0" o:gfxdata="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T7wn/ZAAAACgEAAA8AAAAAAAAA&#10;AQAgAAAAIgAAAGRycy9kb3ducmV2LnhtbFBLAQIUABQAAAAIAIdO4kBFgwPQSQIAAGIEAAAOAAAA&#10;AAAAAAEAIAAAACgBAABkcnMvZTJvRG9jLnhtbFBLBQYAAAAABgAGAFkBAADjBQAAAAA=&#10;">
                <v:fill on="f" focussize="0,0"/>
                <v:stroke weight="0.5pt" color="#FFFFFF" joinstyle="round"/>
                <v:imagedata o:title=""/>
                <o:lock v:ext="edit" aspectratio="f"/>
                <v:textbox style="mso-fit-shape-to-text:t;">
                  <w:txbxContent>
                    <w:p>
                      <w:pPr>
                        <w:spacing w:line="320" w:lineRule="exact"/>
                        <w:ind w:firstLine="2520" w:firstLineChars="900"/>
                        <w:rPr>
                          <w:rFonts w:ascii="仿宋_GB2312" w:eastAsia="仿宋_GB2312"/>
                          <w:sz w:val="28"/>
                          <w:szCs w:val="32"/>
                        </w:rPr>
                      </w:pPr>
                      <w:r>
                        <w:rPr>
                          <w:rFonts w:hint="eastAsia" w:ascii="仿宋_GB2312" w:eastAsia="仿宋_GB2312"/>
                          <w:sz w:val="28"/>
                          <w:szCs w:val="32"/>
                        </w:rPr>
                        <w:t>VL＜50 Copies/ml的患者数</w:t>
                      </w:r>
                    </w:p>
                    <w:p>
                      <w:pPr>
                        <w:spacing w:line="320" w:lineRule="exact"/>
                        <w:rPr>
                          <w:rFonts w:ascii="仿宋_GB2312" w:eastAsia="仿宋_GB2312"/>
                          <w:sz w:val="32"/>
                          <w:szCs w:val="32"/>
                        </w:rPr>
                      </w:pPr>
                      <w:r>
                        <w:rPr>
                          <w:rFonts w:ascii="仿宋_GB2312" w:eastAsia="仿宋_GB2312"/>
                          <w:sz w:val="28"/>
                          <w:szCs w:val="32"/>
                          <w:vertAlign w:val="subscript"/>
                        </w:rPr>
                        <w:softHyphen/>
                      </w:r>
                      <w:r>
                        <w:rPr>
                          <w:rFonts w:hint="eastAsia" w:ascii="仿宋_GB2312" w:eastAsia="仿宋_GB2312"/>
                          <w:sz w:val="32"/>
                          <w:szCs w:val="32"/>
                        </w:rPr>
                        <w:t>病毒抑制率＝</w:t>
                      </w:r>
                      <w:r>
                        <w:rPr>
                          <w:rFonts w:hint="eastAsia" w:ascii="仿宋_GB2312" w:eastAsia="仿宋_GB2312"/>
                          <w:sz w:val="28"/>
                          <w:szCs w:val="32"/>
                          <w:u w:val="single"/>
                          <w:vertAlign w:val="superscript"/>
                        </w:rPr>
                        <w:t xml:space="preserve">                                                                              </w:t>
                      </w:r>
                      <w:r>
                        <w:rPr>
                          <w:rFonts w:hint="eastAsia" w:ascii="仿宋_GB2312" w:eastAsia="仿宋_GB2312"/>
                          <w:sz w:val="28"/>
                          <w:szCs w:val="32"/>
                          <w:vertAlign w:val="superscript"/>
                        </w:rPr>
                        <w:t xml:space="preserve">  </w:t>
                      </w:r>
                      <w:r>
                        <w:rPr>
                          <w:rFonts w:hint="eastAsia" w:ascii="仿宋_GB2312" w:eastAsia="仿宋_GB2312"/>
                          <w:sz w:val="32"/>
                          <w:szCs w:val="32"/>
                        </w:rPr>
                        <w:t>×100%</w:t>
                      </w:r>
                    </w:p>
                    <w:p>
                      <w:pPr>
                        <w:spacing w:line="320" w:lineRule="exact"/>
                        <w:ind w:firstLine="1960" w:firstLineChars="700"/>
                        <w:rPr>
                          <w:rFonts w:ascii="仿宋_GB2312" w:eastAsia="仿宋_GB2312"/>
                          <w:sz w:val="28"/>
                          <w:szCs w:val="32"/>
                        </w:rPr>
                      </w:pPr>
                      <w:r>
                        <w:rPr>
                          <w:rFonts w:hint="eastAsia" w:ascii="仿宋_GB2312" w:eastAsia="仿宋_GB2312"/>
                          <w:sz w:val="28"/>
                          <w:szCs w:val="32"/>
                        </w:rPr>
                        <w:t>治疗≥1年且本年度接受过VL检测的患者数</w:t>
                      </w:r>
                    </w:p>
                  </w:txbxContent>
                </v:textbox>
                <w10:wrap type="tight"/>
              </v:shape>
            </w:pict>
          </mc:Fallback>
        </mc:AlternateContent>
      </w:r>
      <w:r>
        <w:rPr>
          <w:rFonts w:hint="eastAsia" w:ascii="仿宋_GB2312" w:eastAsia="仿宋_GB2312" w:hAnsiTheme="minorHAnsi" w:cstheme="minorBidi"/>
          <w:sz w:val="32"/>
          <w:szCs w:val="32"/>
        </w:rPr>
        <w:t>计算公式:</w:t>
      </w:r>
    </w:p>
    <w:p>
      <w:pPr>
        <w:ind w:firstLine="480" w:firstLineChars="150"/>
        <w:rPr>
          <w:rFonts w:ascii="仿宋_GB2312" w:eastAsia="仿宋_GB2312" w:hAnsiTheme="minorHAnsi" w:cstheme="minorBidi"/>
          <w:sz w:val="32"/>
          <w:szCs w:val="32"/>
        </w:rPr>
      </w:pPr>
      <w:r>
        <w:rPr>
          <w:rFonts w:hint="eastAsia" w:ascii="仿宋_GB2312" w:eastAsia="仿宋_GB2312" w:hAnsiTheme="minorHAnsi" w:cstheme="minorBidi"/>
          <w:sz w:val="32"/>
          <w:szCs w:val="32"/>
        </w:rPr>
        <w:t>意义：1.VL检测结果是目前唯一可用于评价患者抗病毒治疗情况的指标，能够直观、准确、可及的反映抗病毒治疗效果，为诊疗提供有力指引；2.通过对VL的监测，也能反应出患者对抗病毒治疗的依从性，从而提示随访医师对VL＞50Copies/ml或持续低病毒载量的患者进行依从性干预或及时调整治疗策略；3.病毒抑制率是国家艾滋病医疗救治的重点考核指标之一，是世界卫生组织艾滋病防治三大目标之一；4.病毒抑制率越高说明辖区内抗病毒治疗效果越好，对降低患者死亡率，提高患者生存质量，减少艾滋病传播具有重要意义。</w:t>
      </w:r>
    </w:p>
    <w:p>
      <w:pPr>
        <w:ind w:firstLine="480" w:firstLineChars="15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说明：1.该项指标只对抗病毒治疗≥1年，且年度内接受过VL检测患者的情况进行统计，对既往或初始治疗的VL检测结果不纳入统计；2.数据由中国疾病预防控制信息系统应用门户传染病报告监测系统自动统计并调取。</w:t>
      </w: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附件：河南省艾滋病免费抗病毒治疗药品管理核查表</w:t>
      </w: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hint="eastAsia" w:ascii="仿宋_GB2312" w:eastAsia="仿宋_GB2312" w:hAnsiTheme="minorHAnsi" w:cstheme="minorBidi"/>
          <w:sz w:val="32"/>
          <w:szCs w:val="32"/>
        </w:rPr>
      </w:pPr>
    </w:p>
    <w:p>
      <w:pPr>
        <w:ind w:firstLine="480" w:firstLineChars="150"/>
        <w:rPr>
          <w:rFonts w:ascii="仿宋_GB2312" w:eastAsia="仿宋_GB2312" w:hAnsiTheme="minorHAnsi" w:cstheme="minorBidi"/>
          <w:sz w:val="32"/>
          <w:szCs w:val="32"/>
        </w:rPr>
      </w:pPr>
    </w:p>
    <w:p>
      <w:pPr>
        <w:jc w:val="left"/>
        <w:rPr>
          <w:rFonts w:hint="eastAsia"/>
        </w:rPr>
      </w:pPr>
    </w:p>
    <w:p>
      <w:pPr>
        <w:jc w:val="left"/>
        <w:sectPr>
          <w:footerReference r:id="rId3" w:type="default"/>
          <w:pgSz w:w="11906" w:h="16838"/>
          <w:pgMar w:top="1440" w:right="1463" w:bottom="1440" w:left="1463" w:header="851" w:footer="992" w:gutter="0"/>
          <w:pgNumType w:fmt="numberInDash"/>
          <w:cols w:space="425" w:num="1"/>
          <w:docGrid w:type="lines" w:linePitch="312" w:charSpace="0"/>
        </w:sectPr>
      </w:pPr>
    </w:p>
    <w:p>
      <w:pPr>
        <w:jc w:val="left"/>
        <w:rPr>
          <w:rFonts w:hint="eastAsia" w:ascii="黑体" w:hAnsi="黑体" w:eastAsia="黑体"/>
          <w:sz w:val="32"/>
          <w:szCs w:val="32"/>
          <w:lang w:eastAsia="zh-CN"/>
        </w:rPr>
      </w:pPr>
      <w:r>
        <w:rPr>
          <w:rFonts w:hint="eastAsia" w:ascii="黑体" w:hAnsi="黑体" w:eastAsia="黑体"/>
          <w:sz w:val="32"/>
          <w:szCs w:val="32"/>
        </w:rPr>
        <w:t>附</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表</w:t>
      </w:r>
    </w:p>
    <w:p>
      <w:pPr>
        <w:jc w:val="center"/>
        <w:outlineLvl w:val="0"/>
        <w:rPr>
          <w:rFonts w:hint="eastAsia" w:ascii="黑体" w:hAnsi="黑体" w:eastAsia="黑体" w:cstheme="minorBidi"/>
          <w:sz w:val="32"/>
          <w:szCs w:val="32"/>
        </w:rPr>
      </w:pPr>
      <w:r>
        <w:rPr>
          <w:rFonts w:hint="eastAsia" w:ascii="黑体" w:hAnsi="黑体" w:eastAsia="黑体" w:cstheme="minorBidi"/>
          <w:sz w:val="32"/>
          <w:szCs w:val="32"/>
        </w:rPr>
        <w:t>河南省艾滋病免费抗病毒治疗药品管理核查表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9001"/>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trPr>
        <w:tc>
          <w:tcPr>
            <w:tcW w:w="2306" w:type="dxa"/>
          </w:tcPr>
          <w:p>
            <w:pPr>
              <w:jc w:val="center"/>
              <w:rPr>
                <w:rFonts w:hint="eastAsia" w:ascii="仿宋_GB2312" w:eastAsia="仿宋_GB2312"/>
                <w:b/>
                <w:sz w:val="32"/>
                <w:szCs w:val="32"/>
              </w:rPr>
            </w:pPr>
            <w:r>
              <w:rPr>
                <w:rFonts w:hint="eastAsia" w:ascii="仿宋_GB2312" w:eastAsia="仿宋_GB2312"/>
                <w:b/>
                <w:sz w:val="32"/>
                <w:szCs w:val="32"/>
              </w:rPr>
              <w:t>核查项目</w:t>
            </w:r>
          </w:p>
        </w:tc>
        <w:tc>
          <w:tcPr>
            <w:tcW w:w="9001" w:type="dxa"/>
          </w:tcPr>
          <w:p>
            <w:pPr>
              <w:jc w:val="center"/>
              <w:rPr>
                <w:rFonts w:hint="eastAsia" w:ascii="仿宋_GB2312" w:eastAsia="仿宋_GB2312"/>
                <w:b/>
                <w:sz w:val="32"/>
                <w:szCs w:val="32"/>
              </w:rPr>
            </w:pPr>
            <w:r>
              <w:rPr>
                <w:rFonts w:hint="eastAsia" w:ascii="仿宋_GB2312" w:eastAsia="仿宋_GB2312"/>
                <w:b/>
                <w:sz w:val="32"/>
                <w:szCs w:val="32"/>
              </w:rPr>
              <w:t>核查内容</w:t>
            </w:r>
          </w:p>
        </w:tc>
        <w:tc>
          <w:tcPr>
            <w:tcW w:w="2867" w:type="dxa"/>
          </w:tcPr>
          <w:p>
            <w:pPr>
              <w:jc w:val="center"/>
              <w:rPr>
                <w:rFonts w:hint="eastAsia" w:ascii="仿宋_GB2312" w:eastAsia="仿宋_GB2312"/>
                <w:b/>
                <w:sz w:val="32"/>
                <w:szCs w:val="32"/>
              </w:rPr>
            </w:pPr>
            <w:r>
              <w:rPr>
                <w:rFonts w:hint="eastAsia" w:ascii="仿宋_GB2312" w:eastAsia="仿宋_GB2312"/>
                <w:b/>
                <w:sz w:val="32"/>
                <w:szCs w:val="32"/>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06" w:type="dxa"/>
            <w:vMerge w:val="restart"/>
            <w:vAlign w:val="center"/>
          </w:tcPr>
          <w:p>
            <w:pPr>
              <w:jc w:val="center"/>
              <w:rPr>
                <w:rFonts w:hint="eastAsia" w:ascii="仿宋_GB2312" w:eastAsia="仿宋_GB2312"/>
                <w:sz w:val="28"/>
                <w:szCs w:val="32"/>
              </w:rPr>
            </w:pPr>
            <w:r>
              <w:rPr>
                <w:rFonts w:hint="eastAsia" w:ascii="仿宋_GB2312" w:eastAsia="仿宋_GB2312"/>
                <w:sz w:val="28"/>
                <w:szCs w:val="32"/>
              </w:rPr>
              <w:t>1.人员管理</w:t>
            </w: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1.1严格依法执业制度。乡镇卫生院以上定点机构的药品管理及调剂人员应具有药学专业技术任职资格；定点村卫生室药品管理、调剂人员由村卫生室负责人指定专人负责。</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1.查人员资质；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306" w:type="dxa"/>
            <w:vMerge w:val="continue"/>
            <w:vAlign w:val="center"/>
          </w:tcPr>
          <w:p>
            <w:pPr>
              <w:jc w:val="center"/>
              <w:rPr>
                <w:rFonts w:hint="eastAsia" w:ascii="仿宋_GB2312" w:eastAsia="仿宋_GB2312"/>
                <w:sz w:val="28"/>
                <w:szCs w:val="32"/>
              </w:rPr>
            </w:pP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1.2严格执行培训制度。药品管理及调剂人员至少每年接受2次药品管理和艾滋病抗病毒治疗等相关内容的培训。</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 xml:space="preserve">2.查培训资料；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6" w:type="dxa"/>
            <w:vMerge w:val="restart"/>
            <w:vAlign w:val="center"/>
          </w:tcPr>
          <w:p>
            <w:pPr>
              <w:jc w:val="center"/>
              <w:rPr>
                <w:rFonts w:hint="eastAsia" w:ascii="仿宋_GB2312" w:eastAsia="仿宋_GB2312"/>
                <w:sz w:val="28"/>
                <w:szCs w:val="32"/>
              </w:rPr>
            </w:pPr>
            <w:r>
              <w:rPr>
                <w:rFonts w:hint="eastAsia" w:ascii="仿宋_GB2312" w:eastAsia="仿宋_GB2312"/>
                <w:sz w:val="28"/>
                <w:szCs w:val="32"/>
              </w:rPr>
              <w:t>2.库房管理</w:t>
            </w: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2.1严格执行专人、专库管理制度。市、县免费药品库房要设置专用库储备药品，并指定专人进行管理。</w:t>
            </w:r>
          </w:p>
        </w:tc>
        <w:tc>
          <w:tcPr>
            <w:tcW w:w="2867" w:type="dxa"/>
          </w:tcPr>
          <w:p>
            <w:pPr>
              <w:adjustRightInd w:val="0"/>
              <w:snapToGrid w:val="0"/>
              <w:rPr>
                <w:rFonts w:hint="eastAsia" w:ascii="仿宋_GB2312" w:eastAsia="仿宋_GB2312"/>
                <w:sz w:val="28"/>
                <w:szCs w:val="32"/>
              </w:rPr>
            </w:pPr>
            <w:r>
              <w:rPr>
                <w:rFonts w:hint="eastAsia" w:ascii="仿宋_GB2312" w:eastAsia="仿宋_GB2312"/>
                <w:sz w:val="28"/>
                <w:szCs w:val="32"/>
              </w:rPr>
              <w:t>1.查库设置情况及人员管理情况；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6" w:type="dxa"/>
            <w:vMerge w:val="continue"/>
            <w:vAlign w:val="center"/>
          </w:tcPr>
          <w:p>
            <w:pPr>
              <w:jc w:val="center"/>
              <w:rPr>
                <w:rFonts w:hint="eastAsia" w:ascii="仿宋_GB2312" w:eastAsia="仿宋_GB2312"/>
                <w:sz w:val="28"/>
                <w:szCs w:val="32"/>
              </w:rPr>
            </w:pP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2.2免费药品专用库房必须按照相关法律、法规和规范的要求，配备相应的设施、设备和符合用电安全的照明设备。</w:t>
            </w:r>
          </w:p>
          <w:p>
            <w:pPr>
              <w:adjustRightInd w:val="0"/>
              <w:snapToGrid w:val="0"/>
              <w:rPr>
                <w:rFonts w:hint="eastAsia" w:ascii="仿宋_GB2312" w:eastAsia="仿宋_GB2312"/>
                <w:sz w:val="28"/>
                <w:szCs w:val="32"/>
              </w:rPr>
            </w:pPr>
            <w:r>
              <w:rPr>
                <w:rFonts w:hint="eastAsia" w:ascii="仿宋_GB2312" w:eastAsia="仿宋_GB2312"/>
                <w:sz w:val="28"/>
                <w:szCs w:val="32"/>
              </w:rPr>
              <w:t>2.2.1应具备冷藏、防冻、防潮、避光、通风、防火、防盗、防虫、防鼠等设施。</w:t>
            </w:r>
          </w:p>
          <w:p>
            <w:pPr>
              <w:adjustRightInd w:val="0"/>
              <w:snapToGrid w:val="0"/>
              <w:rPr>
                <w:rFonts w:hint="eastAsia" w:ascii="仿宋_GB2312" w:eastAsia="仿宋_GB2312"/>
                <w:sz w:val="28"/>
                <w:szCs w:val="32"/>
              </w:rPr>
            </w:pPr>
            <w:r>
              <w:rPr>
                <w:rFonts w:hint="eastAsia" w:ascii="仿宋_GB2312" w:eastAsia="仿宋_GB2312"/>
                <w:sz w:val="28"/>
                <w:szCs w:val="32"/>
              </w:rPr>
              <w:t>2.2.2药品库房要做到内壁墙面、顶棚和地面光洁、平整、门窗结构严密。</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2.实地常看库房设施、设备、消防、安全等情况；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6" w:type="dxa"/>
            <w:vMerge w:val="continue"/>
            <w:vAlign w:val="center"/>
          </w:tcPr>
          <w:p>
            <w:pPr>
              <w:jc w:val="center"/>
              <w:rPr>
                <w:rFonts w:hint="eastAsia" w:ascii="仿宋_GB2312" w:eastAsia="仿宋_GB2312"/>
                <w:sz w:val="28"/>
                <w:szCs w:val="32"/>
              </w:rPr>
            </w:pP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2.3严格执行出入库制度。</w:t>
            </w:r>
          </w:p>
          <w:p>
            <w:pPr>
              <w:adjustRightInd w:val="0"/>
              <w:snapToGrid w:val="0"/>
              <w:rPr>
                <w:rFonts w:hint="eastAsia" w:ascii="仿宋_GB2312" w:eastAsia="仿宋_GB2312"/>
                <w:sz w:val="28"/>
                <w:szCs w:val="32"/>
              </w:rPr>
            </w:pPr>
            <w:r>
              <w:rPr>
                <w:rFonts w:hint="eastAsia" w:ascii="仿宋_GB2312" w:eastAsia="仿宋_GB2312"/>
                <w:sz w:val="28"/>
                <w:szCs w:val="32"/>
              </w:rPr>
              <w:t>2.3.1药品应严格执行验收入库制度，验收须两人以上在场，并有验收记录及签名。</w:t>
            </w:r>
          </w:p>
          <w:p>
            <w:pPr>
              <w:adjustRightInd w:val="0"/>
              <w:snapToGrid w:val="0"/>
              <w:rPr>
                <w:rFonts w:hint="eastAsia" w:ascii="仿宋_GB2312" w:eastAsia="仿宋_GB2312"/>
                <w:sz w:val="28"/>
                <w:szCs w:val="32"/>
              </w:rPr>
            </w:pPr>
            <w:r>
              <w:rPr>
                <w:rFonts w:hint="eastAsia" w:ascii="仿宋_GB2312" w:eastAsia="仿宋_GB2312"/>
                <w:sz w:val="28"/>
                <w:szCs w:val="32"/>
              </w:rPr>
              <w:t>2.3.2出库应严格按照“先入先出、近效先出”。</w:t>
            </w:r>
          </w:p>
          <w:p>
            <w:pPr>
              <w:adjustRightInd w:val="0"/>
              <w:snapToGrid w:val="0"/>
              <w:rPr>
                <w:rFonts w:hint="eastAsia" w:ascii="仿宋_GB2312" w:eastAsia="仿宋_GB2312"/>
                <w:sz w:val="28"/>
                <w:szCs w:val="32"/>
              </w:rPr>
            </w:pPr>
            <w:r>
              <w:rPr>
                <w:rFonts w:hint="eastAsia" w:ascii="仿宋_GB2312" w:eastAsia="仿宋_GB2312"/>
                <w:sz w:val="28"/>
                <w:szCs w:val="32"/>
              </w:rPr>
              <w:t>2.3.3免费药品库房要建立专用账册，如实记录药品流向和数量。做到“日清月结，账物相符”.</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3.查入库验收记录、出库记录（出库记录重点核查出库药品效期情况）和专用账册，并核对药品账物情况。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306" w:type="dxa"/>
            <w:vMerge w:val="restart"/>
            <w:vAlign w:val="center"/>
          </w:tcPr>
          <w:p>
            <w:pPr>
              <w:jc w:val="center"/>
              <w:rPr>
                <w:rFonts w:hint="eastAsia" w:ascii="仿宋_GB2312" w:eastAsia="仿宋_GB2312"/>
                <w:sz w:val="28"/>
                <w:szCs w:val="32"/>
              </w:rPr>
            </w:pPr>
            <w:r>
              <w:rPr>
                <w:rFonts w:hint="eastAsia" w:ascii="仿宋_GB2312" w:eastAsia="仿宋_GB2312"/>
                <w:sz w:val="28"/>
                <w:szCs w:val="32"/>
              </w:rPr>
              <w:t>2.库房管理</w:t>
            </w: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2.4严格执行库房盘存制度。要按月对药品出入库情况进行盘存，盘存时应有两人以上在场，盘存要有记录、有签名。</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4.查看盘存记录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2306" w:type="dxa"/>
            <w:vMerge w:val="continue"/>
            <w:vAlign w:val="center"/>
          </w:tcPr>
          <w:p>
            <w:pPr>
              <w:jc w:val="center"/>
              <w:rPr>
                <w:rFonts w:hint="eastAsia" w:ascii="仿宋_GB2312" w:eastAsia="仿宋_GB2312"/>
                <w:sz w:val="28"/>
                <w:szCs w:val="32"/>
              </w:rPr>
            </w:pP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2.5严格执行分类分区摆放制度。</w:t>
            </w:r>
          </w:p>
          <w:p>
            <w:pPr>
              <w:adjustRightInd w:val="0"/>
              <w:snapToGrid w:val="0"/>
              <w:rPr>
                <w:rFonts w:hint="eastAsia" w:ascii="仿宋_GB2312" w:eastAsia="仿宋_GB2312"/>
                <w:sz w:val="28"/>
                <w:szCs w:val="32"/>
              </w:rPr>
            </w:pPr>
            <w:r>
              <w:rPr>
                <w:rFonts w:hint="eastAsia" w:ascii="仿宋_GB2312" w:eastAsia="仿宋_GB2312"/>
                <w:sz w:val="28"/>
                <w:szCs w:val="32"/>
              </w:rPr>
              <w:t>2.5.1药品库房应明显分区，分别设置合格区、不合格区、待验区以及退货区。药品摆放应依照药品效期、药品品规和验收状态分区摆放。</w:t>
            </w:r>
          </w:p>
          <w:p>
            <w:pPr>
              <w:adjustRightInd w:val="0"/>
              <w:snapToGrid w:val="0"/>
              <w:rPr>
                <w:rFonts w:hint="eastAsia" w:ascii="仿宋_GB2312" w:eastAsia="仿宋_GB2312"/>
                <w:sz w:val="28"/>
                <w:szCs w:val="32"/>
              </w:rPr>
            </w:pPr>
            <w:r>
              <w:rPr>
                <w:rFonts w:hint="eastAsia" w:ascii="仿宋_GB2312" w:eastAsia="仿宋_GB2312"/>
                <w:sz w:val="28"/>
                <w:szCs w:val="32"/>
              </w:rPr>
              <w:t>2.5.2定点机构免费药品设置专柜贮存，并采取防盗措施，避免丢失。</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5.现场查看药品分类、分区摆放情况。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306" w:type="dxa"/>
            <w:vMerge w:val="continue"/>
            <w:vAlign w:val="center"/>
          </w:tcPr>
          <w:p>
            <w:pPr>
              <w:jc w:val="center"/>
              <w:rPr>
                <w:rFonts w:hint="eastAsia" w:ascii="仿宋_GB2312" w:eastAsia="仿宋_GB2312"/>
                <w:sz w:val="28"/>
                <w:szCs w:val="32"/>
              </w:rPr>
            </w:pP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2.6严格执行日常养护制度。免费药品管理专职人员应按照要求定期对库存药品巡视、查验，防止产生失效、过期、变质等不合格药品。不合格药品严禁出库。药品养护有记录，有签字。</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6.查看药品养护记录。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306" w:type="dxa"/>
            <w:vMerge w:val="restart"/>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3.定点机构药品管理</w:t>
            </w: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3.1定点机构药房基本设施要合格，地面、墙面平整洁净，无污染。调剂台平整、光洁；调剂用具、包装材料应符合卫生学要求。</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1.现场查看定点机构药房设置情况。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6" w:type="dxa"/>
            <w:vMerge w:val="continue"/>
            <w:vAlign w:val="center"/>
          </w:tcPr>
          <w:p>
            <w:pPr>
              <w:adjustRightInd w:val="0"/>
              <w:snapToGrid w:val="0"/>
              <w:rPr>
                <w:rFonts w:hint="eastAsia" w:ascii="仿宋_GB2312" w:eastAsia="仿宋_GB2312"/>
                <w:sz w:val="28"/>
                <w:szCs w:val="32"/>
              </w:rPr>
            </w:pP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3.2处方调剂必须严格遵守《处方管理办法》，认真执行“四查十对”，确保发出的免费药品准确、无误</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2.查看已调剂处方；跟踪查看处方调剂过程。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6" w:type="dxa"/>
            <w:vMerge w:val="continue"/>
            <w:vAlign w:val="center"/>
          </w:tcPr>
          <w:p>
            <w:pPr>
              <w:adjustRightInd w:val="0"/>
              <w:snapToGrid w:val="0"/>
              <w:rPr>
                <w:rFonts w:hint="eastAsia" w:ascii="仿宋_GB2312" w:eastAsia="仿宋_GB2312"/>
                <w:sz w:val="28"/>
                <w:szCs w:val="32"/>
              </w:rPr>
            </w:pP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3.3严格执行免费药品“一人一账”制度。针对每位艾滋病患者，定点机构填写《艾滋病免费抗病毒药品领取登记表》，且长期规范保存于病历中。</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3.查看患者随访档案，核查药品领取登记表使用及登记情况。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2306" w:type="dxa"/>
            <w:vMerge w:val="restart"/>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3.定点机构药品管理</w:t>
            </w: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3.4严格执行免费药品出入库、盘存、分类分区摆放、日常养护、过期药品管理等制度。</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4.查看药房药品管理情况，包括账册、养护记录、处方保管等内容。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6" w:type="dxa"/>
            <w:vMerge w:val="continue"/>
            <w:vAlign w:val="center"/>
          </w:tcPr>
          <w:p>
            <w:pPr>
              <w:adjustRightInd w:val="0"/>
              <w:snapToGrid w:val="0"/>
              <w:rPr>
                <w:rFonts w:hint="eastAsia" w:ascii="仿宋_GB2312" w:eastAsia="仿宋_GB2312"/>
                <w:sz w:val="28"/>
                <w:szCs w:val="32"/>
              </w:rPr>
            </w:pPr>
          </w:p>
        </w:tc>
        <w:tc>
          <w:tcPr>
            <w:tcW w:w="9001"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3.5严格身份核查制度。特殊情况下，患者不能亲自取药的，可由其亲属或其他指定授权人持有效证件及《免费抗病毒治疗药品领取代签代办授权委托书》代签代办。其他人员不得代签代办。</w:t>
            </w:r>
          </w:p>
        </w:tc>
        <w:tc>
          <w:tcPr>
            <w:tcW w:w="2867" w:type="dxa"/>
            <w:vAlign w:val="center"/>
          </w:tcPr>
          <w:p>
            <w:pPr>
              <w:adjustRightInd w:val="0"/>
              <w:snapToGrid w:val="0"/>
              <w:rPr>
                <w:rFonts w:hint="eastAsia" w:ascii="仿宋_GB2312" w:eastAsia="仿宋_GB2312"/>
                <w:sz w:val="28"/>
                <w:szCs w:val="32"/>
              </w:rPr>
            </w:pPr>
            <w:r>
              <w:rPr>
                <w:rFonts w:hint="eastAsia" w:ascii="仿宋_GB2312" w:eastAsia="仿宋_GB2312"/>
                <w:sz w:val="28"/>
                <w:szCs w:val="32"/>
              </w:rPr>
              <w:t>5.查看《艾滋病免费抗病毒药品领取登记表》和药品处方签名情况，核对是否按照要求签署代签代办委托书。</w:t>
            </w:r>
          </w:p>
        </w:tc>
      </w:tr>
    </w:tbl>
    <w:p/>
    <w:sectPr>
      <w:pgSz w:w="16838" w:h="11906" w:orient="landscape"/>
      <w:pgMar w:top="1474" w:right="1440" w:bottom="1474"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529080"/>
      <w:docPartObj>
        <w:docPartGallery w:val="autotext"/>
      </w:docPartObj>
    </w:sdtPr>
    <w:sdtEndPr>
      <w:rPr>
        <w:rFonts w:asciiTheme="minorEastAsia" w:hAnsiTheme="minorEastAsia" w:eastAsiaTheme="minorEastAsia"/>
        <w:sz w:val="24"/>
        <w:szCs w:val="24"/>
      </w:rPr>
    </w:sdtEndPr>
    <w:sdtContent>
      <w:p>
        <w:pPr>
          <w:pStyle w:val="3"/>
          <w:jc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11 -</w:t>
        </w:r>
        <w:r>
          <w:rPr>
            <w:rFonts w:asciiTheme="minorEastAsia" w:hAnsiTheme="minorEastAsia" w:eastAsiaTheme="minorEastAsia"/>
            <w:sz w:val="24"/>
            <w:szCs w:val="24"/>
          </w:rPr>
          <w:fldChar w:fldCharType="end"/>
        </w:r>
      </w:p>
    </w:sdtContent>
  </w:sdt>
  <w:p>
    <w:pPr>
      <w:pStyle w:val="3"/>
      <w:rPr>
        <w:rFonts w:asciiTheme="minorEastAsia" w:hAnsiTheme="minorEastAsia" w:eastAsiaTheme="minorEastAsia"/>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MjZiMGJiODgzMDJkODQwNjYzZTlhZmRlN2ZiZTYifQ=="/>
  </w:docVars>
  <w:rsids>
    <w:rsidRoot w:val="00E85CA6"/>
    <w:rsid w:val="00047909"/>
    <w:rsid w:val="0009418F"/>
    <w:rsid w:val="000E1E79"/>
    <w:rsid w:val="001152A0"/>
    <w:rsid w:val="001C45C4"/>
    <w:rsid w:val="001F302F"/>
    <w:rsid w:val="00205467"/>
    <w:rsid w:val="0024038C"/>
    <w:rsid w:val="00256758"/>
    <w:rsid w:val="00266642"/>
    <w:rsid w:val="003B438A"/>
    <w:rsid w:val="00416B10"/>
    <w:rsid w:val="00455041"/>
    <w:rsid w:val="00474B9B"/>
    <w:rsid w:val="00482FD1"/>
    <w:rsid w:val="004F6022"/>
    <w:rsid w:val="005140CE"/>
    <w:rsid w:val="0058233B"/>
    <w:rsid w:val="00690DC0"/>
    <w:rsid w:val="006F037C"/>
    <w:rsid w:val="00747735"/>
    <w:rsid w:val="00762C42"/>
    <w:rsid w:val="00847AE9"/>
    <w:rsid w:val="00854691"/>
    <w:rsid w:val="00866EE2"/>
    <w:rsid w:val="00945F4F"/>
    <w:rsid w:val="00975707"/>
    <w:rsid w:val="009B5807"/>
    <w:rsid w:val="009E0D54"/>
    <w:rsid w:val="00A54176"/>
    <w:rsid w:val="00A95BAD"/>
    <w:rsid w:val="00AC4ABC"/>
    <w:rsid w:val="00AD0E10"/>
    <w:rsid w:val="00AE23D9"/>
    <w:rsid w:val="00B07A2A"/>
    <w:rsid w:val="00B45C77"/>
    <w:rsid w:val="00B66D18"/>
    <w:rsid w:val="00BB735B"/>
    <w:rsid w:val="00C26463"/>
    <w:rsid w:val="00C3222B"/>
    <w:rsid w:val="00C42B9D"/>
    <w:rsid w:val="00C50E29"/>
    <w:rsid w:val="00C671CE"/>
    <w:rsid w:val="00CA4638"/>
    <w:rsid w:val="00CA7A6A"/>
    <w:rsid w:val="00CB2A1C"/>
    <w:rsid w:val="00CD3F49"/>
    <w:rsid w:val="00CE506D"/>
    <w:rsid w:val="00D54225"/>
    <w:rsid w:val="00D86DD0"/>
    <w:rsid w:val="00E70E08"/>
    <w:rsid w:val="00E85CA6"/>
    <w:rsid w:val="00E9192E"/>
    <w:rsid w:val="00EF723D"/>
    <w:rsid w:val="00F22D3D"/>
    <w:rsid w:val="00F64D4D"/>
    <w:rsid w:val="00F8535F"/>
    <w:rsid w:val="00FE5D41"/>
    <w:rsid w:val="51BFA38D"/>
    <w:rsid w:val="63FF505E"/>
    <w:rsid w:val="6BA16CF2"/>
    <w:rsid w:val="777E2631"/>
    <w:rsid w:val="7FBB6B0E"/>
    <w:rsid w:val="9FF711E6"/>
    <w:rsid w:val="BFFF1827"/>
    <w:rsid w:val="D76D198B"/>
    <w:rsid w:val="E5779135"/>
    <w:rsid w:val="EAEFA9B3"/>
    <w:rsid w:val="EF75E087"/>
    <w:rsid w:val="EFFBCBAD"/>
    <w:rsid w:val="F5FFC449"/>
    <w:rsid w:val="FDFFDB0F"/>
    <w:rsid w:val="FEEFCA1E"/>
    <w:rsid w:val="FFEF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 New New"/>
    <w:qFormat/>
    <w:uiPriority w:val="0"/>
    <w:pPr>
      <w:widowControl w:val="0"/>
      <w:jc w:val="both"/>
    </w:pPr>
    <w:rPr>
      <w:rFonts w:hint="eastAsia" w:ascii="Calibri" w:hAnsi="Calibri" w:eastAsia="宋体" w:cs="Times New Roman"/>
      <w:kern w:val="2"/>
      <w:sz w:val="21"/>
      <w:szCs w:val="20"/>
      <w:lang w:val="en-US" w:eastAsia="zh-CN" w:bidi="ar-SA"/>
    </w:rPr>
  </w:style>
  <w:style w:type="character" w:customStyle="1" w:styleId="9">
    <w:name w:val="页眉 Char"/>
    <w:basedOn w:val="7"/>
    <w:link w:val="4"/>
    <w:qFormat/>
    <w:uiPriority w:val="99"/>
    <w:rPr>
      <w:rFonts w:ascii="Calibri" w:hAnsi="Calibri" w:eastAsia="宋体" w:cs="Times New Roman"/>
      <w:sz w:val="18"/>
      <w:szCs w:val="18"/>
    </w:rPr>
  </w:style>
  <w:style w:type="character" w:customStyle="1" w:styleId="10">
    <w:name w:val="页脚 Char"/>
    <w:basedOn w:val="7"/>
    <w:link w:val="3"/>
    <w:qFormat/>
    <w:uiPriority w:val="99"/>
    <w:rPr>
      <w:rFonts w:ascii="Calibri" w:hAnsi="Calibri" w:eastAsia="宋体" w:cs="Times New Roman"/>
      <w:sz w:val="18"/>
      <w:szCs w:val="18"/>
    </w:rPr>
  </w:style>
  <w:style w:type="character" w:customStyle="1" w:styleId="11">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3496</Words>
  <Characters>3658</Characters>
  <Lines>28</Lines>
  <Paragraphs>7</Paragraphs>
  <TotalTime>505</TotalTime>
  <ScaleCrop>false</ScaleCrop>
  <LinksUpToDate>false</LinksUpToDate>
  <CharactersWithSpaces>3663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2022-07-27T16:21:00Z</dcterms:created>
  <dc:creator>路政</dc:creator>
  <cp:lastModifiedBy>王朝阳</cp:lastModifiedBy>
  <dcterms:modified xsi:type="dcterms:W3CDTF">2023-05-15T07:20:47Z</dcterms:modified>
  <dc:title>关于印发河南省艾滋病诊疗质量控制指标（试行）的请示</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128B3CC0684D47FD996291F22007A6AB</vt:lpwstr>
  </property>
</Properties>
</file>